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bookmarkStart w:id="0" w:name="_Hlk201156111"/>
      <w:r w:rsidRPr="6922EE43">
        <w:rPr>
          <w:b/>
        </w:rPr>
        <w:t>2025 Oxford Climate Policy Monitor Survey</w:t>
      </w:r>
    </w:p>
    <w:bookmarkEnd w:id="0"/>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1" w:name="_Toc198223600"/>
      <w:r w:rsidRPr="00093CA9">
        <w:lastRenderedPageBreak/>
        <w:t>General Questions</w:t>
      </w:r>
      <w:bookmarkEnd w:id="1"/>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4883B7D" w:rsidR="00093CA9" w:rsidRDefault="007C759E" w:rsidP="00093CA9">
            <w:r w:rsidRPr="007C759E">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9F91287" w:rsidR="00093CA9" w:rsidRDefault="0008356C" w:rsidP="00093CA9">
            <w:r w:rsidRPr="0008356C">
              <w:t>Sovereign Sustainable Financing Framework Guideline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0F04A9D" w:rsidR="00093CA9" w:rsidRDefault="0074301E" w:rsidP="00093CA9">
            <w:r w:rsidRPr="0074301E">
              <w:t>https://web.archive.org/web/20231215204854/https://assets.mof.gov.eg/files/2022-11/3a5430d0-60d5-11ed-ac6e-bf0b2fa9233a.pdf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1EE68C3" w:rsidR="00093CA9" w:rsidRDefault="0008356C"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31A9A0"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28F63A4" w:rsidR="00093CA9" w:rsidRDefault="0008356C"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235E70A"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9DC18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BC4685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16B3E49" w:rsidR="00093CA9" w:rsidRDefault="00EC18C7" w:rsidP="00EC18C7">
            <w:r w:rsidRPr="00EC18C7">
              <w:t xml:space="preserve">The Egypt Sovereign Sustainable Financing Framework </w:t>
            </w:r>
            <w:r w:rsidR="00E96E32">
              <w:t>(</w:t>
            </w:r>
            <w:r w:rsidRPr="00EC18C7">
              <w:t>November 2022</w:t>
            </w:r>
            <w:r w:rsidR="00E96E32">
              <w:t>)</w:t>
            </w:r>
            <w:r w:rsidRPr="00EC18C7">
              <w:t xml:space="preserve"> is a strategic document allowing Egypt to issue various sustainable debt instruments (like green and social bonds). Its goal is to finance projects contributing to Egypt's Vision 2030 and National Climate Change Strategy 2050 by </w:t>
            </w:r>
            <w:r>
              <w:t>directing</w:t>
            </w:r>
            <w:r w:rsidRPr="00EC18C7">
              <w:t xml:space="preserve"> capital towards environmental and social initiatives. It </w:t>
            </w:r>
            <w:r>
              <w:t>is related to</w:t>
            </w:r>
            <w:r w:rsidRPr="00EC18C7">
              <w:t xml:space="preserve"> </w:t>
            </w:r>
            <w:r w:rsidR="00354ADC">
              <w:t xml:space="preserve">the </w:t>
            </w:r>
            <w:r w:rsidRPr="00EC18C7">
              <w:t>climate-related disclosures</w:t>
            </w:r>
            <w:r w:rsidR="00354ADC">
              <w:t xml:space="preserve"> domain</w:t>
            </w:r>
            <w:r w:rsidRPr="00EC18C7">
              <w:t xml:space="preserve"> through annual</w:t>
            </w:r>
            <w:r w:rsidR="00E96E32">
              <w:t xml:space="preserve"> climate</w:t>
            </w:r>
            <w:r w:rsidRPr="00EC18C7">
              <w:t xml:space="preserve"> impact reporting </w:t>
            </w:r>
            <w:r>
              <w:t>also</w:t>
            </w:r>
            <w:r w:rsidR="00E96E32">
              <w:t xml:space="preserve"> relates to</w:t>
            </w:r>
            <w:r w:rsidRPr="00EC18C7">
              <w:t xml:space="preserve"> public procurement </w:t>
            </w:r>
            <w:r w:rsidR="00E96E32">
              <w:t xml:space="preserve">with government funded environmentally sustainable infrastructure and climate related projects.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6CB7452" w:rsidR="00093CA9" w:rsidRDefault="006D09D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8BDA7FF" w:rsidR="00093CA9" w:rsidRPr="00173D7C" w:rsidRDefault="006D09D3"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479074A" w:rsidR="00093CA9" w:rsidRDefault="006D09D3" w:rsidP="00093CA9">
            <w:r>
              <w:t xml:space="preserve">Ministry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D5C9FCF" w:rsidR="00093CA9" w:rsidRPr="006B7B0D" w:rsidRDefault="0006283B" w:rsidP="00093CA9">
            <w:r>
              <w:t xml:space="preserve">Egyptian </w:t>
            </w:r>
            <w:r w:rsidR="006D09D3">
              <w:t xml:space="preserve">Ministry of Finance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2DB25E3" w:rsidR="00093CA9" w:rsidRPr="006B7B0D" w:rsidRDefault="006D09D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447EA22" w:rsidR="00093CA9" w:rsidRPr="006B7B0D" w:rsidRDefault="008C4EEF" w:rsidP="00093CA9">
            <w:r>
              <w:t>A Sustainable Finance Working Group (chaired by the Ministry of Finance, hereafter “SFWG”) consisting of, amongst others, Ministry of Planning and Economic Development, Ministry of Environment, Ministry of Transportation, Ministry of Housing, Utilities &amp; Urban Communities will be responsible to carry out project evaluation and selection processes.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4659A9A" w:rsidR="00093CA9" w:rsidRPr="006B7B0D" w:rsidRDefault="008C4EEF"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A6E78BA" w:rsidR="00093CA9" w:rsidRDefault="00550D4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846810F" w14:textId="0F8DCD3C" w:rsidR="008C4EEF" w:rsidRDefault="00550D41" w:rsidP="00C6742F">
            <w:pPr>
              <w:keepNext/>
              <w:rPr>
                <w:color w:val="000000" w:themeColor="text1"/>
              </w:rPr>
            </w:pPr>
            <w:r>
              <w:rPr>
                <w:color w:val="000000" w:themeColor="text1"/>
              </w:rPr>
              <w:t xml:space="preserve">The </w:t>
            </w:r>
            <w:r w:rsidR="008C4EEF">
              <w:rPr>
                <w:color w:val="000000" w:themeColor="text1"/>
              </w:rPr>
              <w:t xml:space="preserve">SFWG has committed </w:t>
            </w:r>
            <w:r>
              <w:rPr>
                <w:color w:val="000000" w:themeColor="text1"/>
              </w:rPr>
              <w:t>to provid</w:t>
            </w:r>
            <w:r w:rsidR="008C4EEF">
              <w:rPr>
                <w:color w:val="000000" w:themeColor="text1"/>
              </w:rPr>
              <w:t>ing</w:t>
            </w:r>
            <w:r>
              <w:rPr>
                <w:color w:val="000000" w:themeColor="text1"/>
              </w:rPr>
              <w:t xml:space="preserve"> </w:t>
            </w:r>
            <w:r w:rsidR="008C4EEF">
              <w:rPr>
                <w:color w:val="000000" w:themeColor="text1"/>
              </w:rPr>
              <w:t>semi-</w:t>
            </w:r>
            <w:r>
              <w:rPr>
                <w:color w:val="000000" w:themeColor="text1"/>
              </w:rPr>
              <w:t xml:space="preserve">annual reports </w:t>
            </w:r>
            <w:r w:rsidR="00C6742F" w:rsidRPr="00C6742F">
              <w:rPr>
                <w:color w:val="000000" w:themeColor="text1"/>
              </w:rPr>
              <w:t>on the allocation of proceeds from sustainable debt instruments and</w:t>
            </w:r>
            <w:r w:rsidR="008C4EEF">
              <w:rPr>
                <w:color w:val="000000" w:themeColor="text1"/>
              </w:rPr>
              <w:t xml:space="preserve"> To determine changes that are necessary in the event certain projects are cancelled or become ineligible and to strive to substitute such projects with new eligible green and social projects (section 5.2).</w:t>
            </w:r>
          </w:p>
          <w:p w14:paraId="2C2128DB" w14:textId="21D306DD" w:rsidR="00093CA9" w:rsidRPr="008017F9" w:rsidRDefault="00C6742F" w:rsidP="00C6742F">
            <w:pPr>
              <w:keepNext/>
              <w:rPr>
                <w:color w:val="000000" w:themeColor="text1"/>
              </w:rPr>
            </w:pPr>
            <w:r>
              <w:rPr>
                <w:color w:val="000000" w:themeColor="text1"/>
              </w:rPr>
              <w:br/>
              <w:t xml:space="preserve">Additionally, monitoring shall be done through </w:t>
            </w:r>
            <w:r w:rsidR="008C4EEF">
              <w:rPr>
                <w:color w:val="000000" w:themeColor="text1"/>
              </w:rPr>
              <w:t>the external review mechanisms</w:t>
            </w:r>
            <w:r>
              <w:rPr>
                <w:color w:val="000000" w:themeColor="text1"/>
              </w:rPr>
              <w:t xml:space="preserve"> stipulated under section 6 of the policy by means of </w:t>
            </w:r>
            <w:r w:rsidR="00A02E8F">
              <w:rPr>
                <w:color w:val="000000" w:themeColor="text1"/>
              </w:rPr>
              <w:t>a second party opinion confirming alignment of this policy tool with certain standards</w:t>
            </w:r>
            <w:r>
              <w:rPr>
                <w:color w:val="000000" w:themeColor="text1"/>
              </w:rPr>
              <w:t xml:space="preserve"> and </w:t>
            </w:r>
            <w:r w:rsidR="00A02E8F">
              <w:rPr>
                <w:color w:val="000000" w:themeColor="text1"/>
              </w:rPr>
              <w:t>external verification in the form of assessments in respect of the allocation of net proceeds to eligible expenditures and impact reporting on an annual basis.</w:t>
            </w:r>
            <w:r>
              <w:rPr>
                <w:color w:val="000000" w:themeColor="text1"/>
              </w:rPr>
              <w:t xml:space="preserve"> The resulting reports of such audits shall be made public on the website of the Ministry of Finance. </w:t>
            </w: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lastRenderedPageBreak/>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571"/>
        <w:gridCol w:w="3955"/>
        <w:gridCol w:w="330"/>
        <w:gridCol w:w="214"/>
        <w:gridCol w:w="551"/>
        <w:gridCol w:w="1003"/>
        <w:gridCol w:w="410"/>
        <w:gridCol w:w="1698"/>
        <w:gridCol w:w="1729"/>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D0BD0F4" w:rsidR="00CF5268" w:rsidRDefault="00CF5268" w:rsidP="00DD3144"/>
        </w:tc>
        <w:tc>
          <w:tcPr>
            <w:tcW w:w="1447" w:type="dxa"/>
            <w:vAlign w:val="center"/>
          </w:tcPr>
          <w:p w14:paraId="13B916E8" w14:textId="5C5E0764"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B754604" w:rsidR="00CF5268" w:rsidRDefault="00CF5268" w:rsidP="00DD3144"/>
        </w:tc>
        <w:tc>
          <w:tcPr>
            <w:tcW w:w="1447" w:type="dxa"/>
            <w:vAlign w:val="center"/>
          </w:tcPr>
          <w:p w14:paraId="04ABBC33" w14:textId="1E4E727A"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A81B36A" w:rsidR="00CF5268" w:rsidRDefault="00CF5268" w:rsidP="00DD3144"/>
        </w:tc>
        <w:tc>
          <w:tcPr>
            <w:tcW w:w="1447" w:type="dxa"/>
            <w:vAlign w:val="center"/>
          </w:tcPr>
          <w:p w14:paraId="568957B7" w14:textId="2C0AC84F"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34B339D2"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6E7E99D7" w:rsidR="466E435B" w:rsidRDefault="009847EE"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5ABDECD4"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lastRenderedPageBreak/>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8063012"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206F1D20"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lastRenderedPageBreak/>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4E7C163D" w:rsidR="00B536E6" w:rsidRDefault="00B536E6" w:rsidP="00DD3144"/>
        </w:tc>
        <w:tc>
          <w:tcPr>
            <w:tcW w:w="1447" w:type="dxa"/>
            <w:vAlign w:val="center"/>
          </w:tcPr>
          <w:p w14:paraId="558B5FB8" w14:textId="61BD0E65"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096DF735" w:rsidR="00B536E6" w:rsidRDefault="00B536E6" w:rsidP="00DD3144"/>
        </w:tc>
        <w:tc>
          <w:tcPr>
            <w:tcW w:w="1447" w:type="dxa"/>
            <w:vAlign w:val="center"/>
          </w:tcPr>
          <w:p w14:paraId="172666E7" w14:textId="2CDE1441"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5EBBDA1A"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5AB165F3" w:rsidR="00B536E6" w:rsidRDefault="00B536E6" w:rsidP="00DD3144"/>
        </w:tc>
        <w:tc>
          <w:tcPr>
            <w:tcW w:w="1447" w:type="dxa"/>
            <w:vAlign w:val="center"/>
          </w:tcPr>
          <w:p w14:paraId="21C6F1BC" w14:textId="67AB0523"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6F10CEC"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08898138"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lastRenderedPageBreak/>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5A944849" w:rsidR="00B536E6" w:rsidRDefault="00534E3E" w:rsidP="00DD3144">
            <w:r>
              <w:t>X</w:t>
            </w:r>
          </w:p>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4F991A17" w:rsidR="0039223F" w:rsidRDefault="00534E3E" w:rsidP="00DD3144">
            <w:r>
              <w:t xml:space="preserve">Ministry of Finance </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9195AD8"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53E769E9"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20CAC2DC" w:rsidR="003243E3" w:rsidRDefault="003243E3" w:rsidP="00DD3144">
            <w:r w:rsidRPr="003577A4">
              <w:t>Describe the threshold criteria to identify entities for whom or instances</w:t>
            </w:r>
            <w:r w:rsidR="00332587">
              <w:t xml:space="preserve"> </w:t>
            </w:r>
            <w:r w:rsidR="00432B47">
              <w:t>Can those entities ou</w:t>
            </w:r>
            <w:r w:rsidRPr="003577A4">
              <w:t xml:space="preserve">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D5D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E272554" w:rsidR="00576ED8" w:rsidRDefault="00432B47"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4F418EAB" w:rsidR="009F5822" w:rsidRDefault="00A02E8F" w:rsidP="00DD3144">
            <w:r>
              <w:t>Although this framework has been entered into voluntarily by Egypt, it is not a binding law</w:t>
            </w:r>
            <w:r w:rsidR="00D639A5">
              <w:t xml:space="preserve"> and although technically Egypt could choose to not issue any bonds under it, this would signal a policy reversal and a departure from its wider ESG goals and commitments. Nevertheless, a</w:t>
            </w:r>
            <w:r>
              <w:t>ny bonds issued under it would oblige Egypt through the Ministry of Finance to follow through with its obligations and the use of proceeds would be in accordance with the subject framework/policy tool.</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F925F50" w:rsidR="00911F20" w:rsidRDefault="00432B47"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47443B6" w:rsidR="009C4798" w:rsidRDefault="009C4798" w:rsidP="00432B47"/>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980F4F7" w:rsidR="00C57511" w:rsidRPr="00FA0CF8" w:rsidRDefault="00432B47"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2D7C8C32" w:rsidR="006B7C5F" w:rsidRPr="008B04BC" w:rsidRDefault="007A186D" w:rsidP="008B04BC">
            <w:pPr>
              <w:pStyle w:val="ListParagraph"/>
              <w:numPr>
                <w:ilvl w:val="0"/>
                <w:numId w:val="52"/>
              </w:numPr>
              <w:spacing w:line="276" w:lineRule="auto"/>
              <w:rPr>
                <w:color w:val="000000" w:themeColor="text1"/>
              </w:rPr>
            </w:pPr>
            <w:r w:rsidRPr="00DE6674">
              <w:rPr>
                <w:color w:val="000000" w:themeColor="text1"/>
              </w:rPr>
              <w:t xml:space="preserve">Following the policy tool, </w:t>
            </w:r>
            <w:r w:rsidR="00D639A5" w:rsidRPr="00DE6674">
              <w:rPr>
                <w:color w:val="000000" w:themeColor="text1"/>
              </w:rPr>
              <w:t xml:space="preserve">the </w:t>
            </w:r>
            <w:r w:rsidR="00205AAF" w:rsidRPr="00DE6674">
              <w:rPr>
                <w:color w:val="000000" w:themeColor="text1"/>
              </w:rPr>
              <w:t xml:space="preserve">Ministry of Planning, Economic Development and International Cooperation </w:t>
            </w:r>
            <w:r w:rsidRPr="00DE6674">
              <w:rPr>
                <w:color w:val="000000" w:themeColor="text1"/>
              </w:rPr>
              <w:t xml:space="preserve">Launched in </w:t>
            </w:r>
            <w:r w:rsidR="00205AAF" w:rsidRPr="00DE6674">
              <w:rPr>
                <w:color w:val="000000" w:themeColor="text1"/>
              </w:rPr>
              <w:t>2024</w:t>
            </w:r>
            <w:r w:rsidRPr="00DE6674">
              <w:rPr>
                <w:color w:val="000000" w:themeColor="text1"/>
              </w:rPr>
              <w:t>, Egypt's Integrated National Financing Strategy (E-INFS) provides a comprehensive framework for financing the SDGs. It explicitly references the sustainable sovereign financing framework as a key aligning tool.</w:t>
            </w:r>
            <w:r w:rsidR="00BC001E" w:rsidRPr="00DE6674">
              <w:rPr>
                <w:color w:val="000000" w:themeColor="text1"/>
              </w:rPr>
              <w:br/>
            </w:r>
            <w:r w:rsidR="00BC001E" w:rsidRPr="00DE6674">
              <w:rPr>
                <w:color w:val="000000" w:themeColor="text1"/>
              </w:rPr>
              <w:br/>
            </w:r>
            <w:hyperlink r:id="rId17" w:history="1">
              <w:r w:rsidR="006B7C5F" w:rsidRPr="006A54A3">
                <w:rPr>
                  <w:rStyle w:val="Hyperlink"/>
                </w:rPr>
                <w:t>https://web.archive.org/web/20250327212635/https://mped.gov.eg/adminpanel/sharedFiles/EGYPT%E2%80%99s_Integrated_National_Financing_16-9-2024_123.pdf</w:t>
              </w:r>
            </w:hyperlink>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B5EA430" w:rsidR="008063B5" w:rsidRDefault="00332587"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332587" w14:paraId="38A401C3" w14:textId="77777777" w:rsidTr="00DD3144">
        <w:trPr>
          <w:trHeight w:val="1020"/>
        </w:trPr>
        <w:tc>
          <w:tcPr>
            <w:tcW w:w="1066" w:type="dxa"/>
            <w:vAlign w:val="center"/>
          </w:tcPr>
          <w:p w14:paraId="5424975F" w14:textId="77777777" w:rsidR="00332587" w:rsidRPr="00530553" w:rsidRDefault="00332587" w:rsidP="00332587">
            <w:pPr>
              <w:rPr>
                <w:b/>
                <w:bCs/>
                <w:color w:val="000000" w:themeColor="text1"/>
              </w:rPr>
            </w:pPr>
          </w:p>
        </w:tc>
        <w:tc>
          <w:tcPr>
            <w:tcW w:w="9374" w:type="dxa"/>
            <w:gridSpan w:val="8"/>
            <w:shd w:val="clear" w:color="auto" w:fill="auto"/>
            <w:vAlign w:val="center"/>
          </w:tcPr>
          <w:p w14:paraId="1AD00030" w14:textId="73F89C7F" w:rsidR="00332587" w:rsidRDefault="00332587" w:rsidP="00332587">
            <w:pPr>
              <w:spacing w:line="276" w:lineRule="auto"/>
              <w:rPr>
                <w:color w:val="000000" w:themeColor="text1"/>
              </w:rPr>
            </w:pPr>
            <w:r>
              <w:rPr>
                <w:color w:val="000000" w:themeColor="text1"/>
              </w:rPr>
              <w:t>No known involvement in litigation</w:t>
            </w:r>
          </w:p>
        </w:tc>
      </w:tr>
      <w:bookmarkEnd w:id="4"/>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3420AC35" w:rsidR="00042406" w:rsidRDefault="00042406" w:rsidP="00DD3144"/>
        </w:tc>
        <w:tc>
          <w:tcPr>
            <w:tcW w:w="1890" w:type="dxa"/>
            <w:vAlign w:val="center"/>
          </w:tcPr>
          <w:p w14:paraId="0D7B8554" w14:textId="32E07BC2" w:rsidR="00042406" w:rsidRDefault="00332121"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647B4A76" w:rsidR="00042406" w:rsidRDefault="00042406" w:rsidP="00DD3144"/>
        </w:tc>
        <w:tc>
          <w:tcPr>
            <w:tcW w:w="1890" w:type="dxa"/>
            <w:vAlign w:val="center"/>
          </w:tcPr>
          <w:p w14:paraId="6E6F3A6D" w14:textId="311BFED5" w:rsidR="00042406" w:rsidRDefault="00332121"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226C69B9" w:rsidR="00042406" w:rsidRDefault="001140CE"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1589A61E" w:rsidR="00042406" w:rsidRDefault="0072355E"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5CB68F2C" w:rsidR="00042406" w:rsidRDefault="0072355E"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474B4A02" w:rsidR="00042406" w:rsidRDefault="00332121"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59148A9" w:rsidR="00042406" w:rsidRDefault="00332121"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0FFC2904" w:rsidR="00931F08" w:rsidRDefault="001140CE"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01180232" w:rsidR="00931F08" w:rsidRDefault="00EC2E26"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ADDBFC6" w:rsidR="00931F08" w:rsidRDefault="00EC2E26"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CC86DA6"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76DC6847" w:rsidR="00B0479E" w:rsidRDefault="00761645"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00996B8D" w:rsidR="00B0479E" w:rsidRDefault="00761645"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8BFA82A" w:rsidR="00B0479E" w:rsidRDefault="00761645"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0BA2FF9F" w:rsidR="00B0479E" w:rsidRDefault="00761645"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7819015" w:rsidR="00B0479E" w:rsidRDefault="00761645"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52349D40" w:rsidR="00B0479E" w:rsidRDefault="00761645" w:rsidP="00DD3144">
            <w:r>
              <w:t>X</w:t>
            </w:r>
          </w:p>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3079F83A"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1CA99305" w:rsidR="00B0479E" w:rsidRDefault="00761645" w:rsidP="00DD3144">
            <w:r>
              <w:t>X</w:t>
            </w:r>
          </w:p>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468C2B25" w:rsidR="00B0479E" w:rsidRDefault="00976B36"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57F2A07D"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0508CC76" w:rsidR="00B0479E" w:rsidRDefault="006B31AD"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4EB2FEC8" w:rsidR="00B0479E" w:rsidRDefault="00976B36"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20D60CBA"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43E515DF" w:rsidR="00B0479E" w:rsidRDefault="00976B36"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1203AF1C"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32617487"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5FC03116"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555811B0" w:rsidR="00B0479E" w:rsidRDefault="00B5699F" w:rsidP="00DD3144">
            <w:r>
              <w:t>X</w:t>
            </w:r>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2142288D" w:rsidR="00B0479E" w:rsidRDefault="00B5699F" w:rsidP="00DD3144">
            <w:r>
              <w:t xml:space="preserve">The policy tool notes that </w:t>
            </w:r>
            <w:r w:rsidR="00C51CB0">
              <w:t xml:space="preserve">Egypt has </w:t>
            </w:r>
            <w:r w:rsidR="00BE6BEC">
              <w:t xml:space="preserve">conditional </w:t>
            </w:r>
            <w:r w:rsidR="00C51CB0">
              <w:t>2030 emissions reduction targets, which are outlined in its Nationally Determined Contributions (NDCs) and are sector specific</w:t>
            </w:r>
            <w:r w:rsidR="00885C43">
              <w:t xml:space="preserve">. The policy tool also notes </w:t>
            </w:r>
            <w:r w:rsidR="00967FE0">
              <w:t>Egypt’s National Climate Change Strategy 2050</w:t>
            </w:r>
            <w:r w:rsidR="00D960F6">
              <w:t xml:space="preserve"> which sets out Egypt’s wider environmental </w:t>
            </w:r>
            <w:r w:rsidR="00BE6BEC">
              <w:t xml:space="preserve">/ sustainability </w:t>
            </w:r>
            <w:r w:rsidR="00D960F6">
              <w:t>goals but no specific</w:t>
            </w:r>
            <w:r w:rsidR="00BE6BEC">
              <w:t xml:space="preserve"> emissions reduction</w:t>
            </w:r>
            <w:r w:rsidR="00D960F6">
              <w:t xml:space="preserve"> target </w:t>
            </w:r>
            <w:r w:rsidR="00BE6BEC">
              <w:t>has been set.</w:t>
            </w:r>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lastRenderedPageBreak/>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0A9AF58C" w:rsidR="00B0479E" w:rsidRDefault="00976B36"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751F8572" w:rsidR="00B0479E" w:rsidRDefault="0029544B"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768205A5"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5A47761B"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lastRenderedPageBreak/>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028AD09D" w:rsidR="00B0479E" w:rsidRDefault="005855DD"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2271D29B" w:rsidR="00B0479E" w:rsidRDefault="005855DD"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6CEA87BE"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72E3B133"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006992DB"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781866D0"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73E0120" w:rsidR="00B0479E" w:rsidRDefault="002C5998"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4011DFBB" w:rsidR="00B0479E" w:rsidRDefault="00A84BCE" w:rsidP="00DD3144">
            <w:r>
              <w:t>Section 5.1.1</w:t>
            </w:r>
            <w:r w:rsidR="00D1481B">
              <w:t xml:space="preserve"> of the policy tool sets out the types of green projec</w:t>
            </w:r>
            <w:r w:rsidR="00681780">
              <w:t>ts</w:t>
            </w:r>
            <w:r w:rsidR="00BA24C1">
              <w:t xml:space="preserve"> that </w:t>
            </w:r>
            <w:r w:rsidR="00EC75FB">
              <w:t>may be</w:t>
            </w:r>
            <w:r w:rsidR="00BA24C1">
              <w:t xml:space="preserve"> eligible for funding from any net proceeds of sustainable debt instruments issued by </w:t>
            </w:r>
            <w:r w:rsidR="00EC75FB">
              <w:t>Egypt</w:t>
            </w:r>
            <w:r w:rsidR="00681780">
              <w:t>, including clean transportation</w:t>
            </w:r>
            <w:r w:rsidR="004B47BC">
              <w:t xml:space="preserve"> projects (e.g. low carbon </w:t>
            </w:r>
            <w:r w:rsidR="004B47BC" w:rsidRPr="00EC75FB">
              <w:t xml:space="preserve">and zero emission light duty vehicles with emission below 50gCO2e/p-km), </w:t>
            </w:r>
            <w:r w:rsidR="00681780" w:rsidRPr="00EC75FB">
              <w:t>renewable energy</w:t>
            </w:r>
            <w:r w:rsidR="004B47BC" w:rsidRPr="00EC75FB">
              <w:t xml:space="preserve"> (e.g. hydropower where lifecycle GHG emissions are less than 100gCO2e/kWh)</w:t>
            </w:r>
            <w:r w:rsidR="00681780" w:rsidRPr="00EC75FB">
              <w:t>, climate change adapt</w:t>
            </w:r>
            <w:r w:rsidR="00DB11EA" w:rsidRPr="00EC75FB">
              <w:t>ation pro</w:t>
            </w:r>
            <w:r w:rsidR="002673A6" w:rsidRPr="00EC75FB">
              <w:t>j</w:t>
            </w:r>
            <w:r w:rsidR="00DB11EA" w:rsidRPr="00EC75FB">
              <w:t>ects</w:t>
            </w:r>
            <w:r w:rsidR="00EC75FB" w:rsidRPr="00EC75FB">
              <w:t xml:space="preserve"> and others.</w:t>
            </w:r>
            <w:r w:rsidR="00EC75FB">
              <w:t xml:space="preserve"> </w:t>
            </w:r>
            <w:r>
              <w:t xml:space="preserve">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7BA635D1" w:rsidR="00EC42A1" w:rsidRDefault="00E1084F"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lastRenderedPageBreak/>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326B9DB2" w:rsidR="00EC42A1" w:rsidRDefault="00E1084F"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658D786C" w:rsidR="00EC42A1" w:rsidRDefault="00E1084F" w:rsidP="00DD3144">
            <w:r>
              <w:t>X</w:t>
            </w:r>
          </w:p>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7F51C15D" w:rsidR="00EC42A1" w:rsidRDefault="00E1084F"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7E740FD5" w:rsidR="00EC42A1" w:rsidRDefault="00E1084F"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33CF49DB" w:rsidR="00EC42A1" w:rsidRDefault="00EC42A1" w:rsidP="00DD3144"/>
        </w:tc>
        <w:tc>
          <w:tcPr>
            <w:tcW w:w="1890" w:type="dxa"/>
            <w:vAlign w:val="center"/>
          </w:tcPr>
          <w:p w14:paraId="7BE07A12" w14:textId="32511C18" w:rsidR="00EC42A1" w:rsidRDefault="006B7C5F"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lastRenderedPageBreak/>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898B384" w:rsidR="00484663" w:rsidRDefault="00ED23BE"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52BCE55" w:rsidR="00484663" w:rsidRDefault="00ED23BE"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C9764A0" w:rsidR="00484663" w:rsidRDefault="00ED23BE"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lastRenderedPageBreak/>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0D086E56" w:rsidR="00484663" w:rsidRDefault="00FD5404"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2256EDC" w:rsidR="00484663" w:rsidRDefault="00FD5404"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184216E5" w:rsidR="00484663" w:rsidRDefault="00B659D9"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4E7B72BE" w:rsidR="00484663" w:rsidRDefault="001B139D"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550FC309" w:rsidR="00484663" w:rsidRDefault="001B139D" w:rsidP="00DD3144">
            <w:r>
              <w:t xml:space="preserve">In section 5.4 “Reporting”, paragraph 3, Egypt commits to provide impact reports on the expected environmental impacts of the Eligible Green and Social Projects.  </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857"/>
        <w:gridCol w:w="4179"/>
        <w:gridCol w:w="1718"/>
        <w:gridCol w:w="1866"/>
        <w:gridCol w:w="1836"/>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133A6A8" w:rsidR="00DA416F" w:rsidRPr="00DD3144" w:rsidRDefault="00F74363"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61E0432" w:rsidR="00DA416F" w:rsidRPr="00DD3144" w:rsidRDefault="00F74363"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893B4EE" w:rsidR="00DA416F" w:rsidRPr="00DD3144" w:rsidRDefault="00F74363"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173813F" w:rsidR="00DA416F" w:rsidRPr="00DD3144" w:rsidRDefault="00F74363"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73204BC" w:rsidR="00DA416F" w:rsidRPr="00DD3144" w:rsidRDefault="00F74363"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4EC78A3" w:rsidR="00DA416F" w:rsidRPr="00DD3144" w:rsidRDefault="00F74363"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EDCF070" w:rsidR="00DA416F" w:rsidRPr="00DD3144" w:rsidRDefault="00F74363"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D00CFC1" w:rsidR="00DA416F" w:rsidRPr="00DD3144" w:rsidRDefault="00F74363"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32EFB81" w:rsidR="00DA416F" w:rsidRPr="00DD3144" w:rsidRDefault="00F74363"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C7335EA" w:rsidR="00DA416F" w:rsidRPr="00DD3144" w:rsidRDefault="00F74363"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AE838BD" w:rsidR="00DA416F" w:rsidRPr="00DD3144" w:rsidRDefault="00F74363"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9D57644" w:rsidR="00DA416F" w:rsidRPr="00DD3144" w:rsidRDefault="00F74363"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D26CCBE" w:rsidR="00DA416F" w:rsidRPr="00DD3144" w:rsidRDefault="00F74363"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54897E26" w:rsidR="00DA416F" w:rsidRPr="00DD3144" w:rsidRDefault="00F74363"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74301E" w:rsidRDefault="004B1F6B" w:rsidP="00DD3144">
            <w:pPr>
              <w:rPr>
                <w:rFonts w:ascii="Calibri" w:hAnsi="Calibri" w:cs="Calibri"/>
              </w:rPr>
            </w:pPr>
            <w:bookmarkStart w:id="7" w:name="_Hlk202020422"/>
          </w:p>
        </w:tc>
        <w:tc>
          <w:tcPr>
            <w:tcW w:w="9369" w:type="dxa"/>
            <w:gridSpan w:val="4"/>
            <w:vAlign w:val="center"/>
          </w:tcPr>
          <w:p w14:paraId="1DB8CC2B" w14:textId="77777777" w:rsidR="0074301E" w:rsidRDefault="0074301E" w:rsidP="0074301E">
            <w:pPr>
              <w:rPr>
                <w:rFonts w:ascii="Calibri" w:hAnsi="Calibri" w:cs="Calibri"/>
              </w:rPr>
            </w:pPr>
            <w:r w:rsidRPr="0074301E">
              <w:rPr>
                <w:rFonts w:ascii="Calibri" w:hAnsi="Calibri" w:cs="Calibri"/>
              </w:rPr>
              <w:t xml:space="preserve">ICMA Green Bond Principles (GBP) 2021 (with June 2022 Appendix I) </w:t>
            </w:r>
          </w:p>
          <w:p w14:paraId="0FF31591" w14:textId="5AEDF2F2" w:rsidR="00006679" w:rsidRPr="0074301E" w:rsidRDefault="00006679" w:rsidP="0074301E">
            <w:pPr>
              <w:rPr>
                <w:rFonts w:ascii="Calibri" w:hAnsi="Calibri" w:cs="Calibri"/>
              </w:rPr>
            </w:pPr>
            <w:r w:rsidRPr="00006679">
              <w:rPr>
                <w:rFonts w:ascii="Calibri" w:hAnsi="Calibri" w:cs="Calibri"/>
              </w:rPr>
              <w:t>https://web.archive.org/web/20250628133433/https://www.icmagroup.org/sustainable-finance/the-principles-guidelines-and-handbooks/green-bond-principles-gbp/</w:t>
            </w:r>
          </w:p>
          <w:p w14:paraId="4EFCD511" w14:textId="77777777" w:rsidR="0074301E" w:rsidRDefault="0074301E" w:rsidP="0074301E">
            <w:pPr>
              <w:rPr>
                <w:rFonts w:ascii="Calibri" w:hAnsi="Calibri" w:cs="Calibri"/>
              </w:rPr>
            </w:pPr>
            <w:r w:rsidRPr="0074301E">
              <w:rPr>
                <w:rFonts w:ascii="Calibri" w:hAnsi="Calibri" w:cs="Calibri"/>
              </w:rPr>
              <w:t xml:space="preserve">ICMA Social Bond Principles (SBP) 2021 (with June 2022 Appendix I) </w:t>
            </w:r>
          </w:p>
          <w:p w14:paraId="5AB7204C" w14:textId="274A6EF0" w:rsidR="0074301E" w:rsidRPr="0074301E" w:rsidRDefault="0074301E" w:rsidP="0074301E">
            <w:pPr>
              <w:rPr>
                <w:rFonts w:ascii="Calibri" w:hAnsi="Calibri" w:cs="Calibri"/>
              </w:rPr>
            </w:pPr>
            <w:r w:rsidRPr="0074301E">
              <w:rPr>
                <w:rFonts w:ascii="Calibri" w:hAnsi="Calibri" w:cs="Calibri"/>
              </w:rPr>
              <w:t>https://web.archive.org/web/20250628132846/https://www.icmagroup.org/assets/documents/Sustainable-finance/2022-updates/Social-Bond-Principles_June-2022v2-130722.pdf</w:t>
            </w:r>
          </w:p>
          <w:p w14:paraId="175A86C2" w14:textId="77777777" w:rsidR="0074301E" w:rsidRDefault="0074301E" w:rsidP="0074301E">
            <w:pPr>
              <w:rPr>
                <w:rFonts w:ascii="Calibri" w:hAnsi="Calibri" w:cs="Calibri"/>
              </w:rPr>
            </w:pPr>
            <w:r w:rsidRPr="0074301E">
              <w:rPr>
                <w:rFonts w:ascii="Calibri" w:hAnsi="Calibri" w:cs="Calibri"/>
              </w:rPr>
              <w:t xml:space="preserve">ICMA Sustainability Bond Guidelines (SBG) 2021 </w:t>
            </w:r>
          </w:p>
          <w:p w14:paraId="44CB6CD4" w14:textId="4F402404" w:rsidR="00006679" w:rsidRPr="0074301E" w:rsidRDefault="00006679" w:rsidP="0074301E">
            <w:pPr>
              <w:rPr>
                <w:rFonts w:ascii="Calibri" w:hAnsi="Calibri" w:cs="Calibri"/>
              </w:rPr>
            </w:pPr>
            <w:r w:rsidRPr="00006679">
              <w:rPr>
                <w:rFonts w:ascii="Calibri" w:hAnsi="Calibri" w:cs="Calibri"/>
              </w:rPr>
              <w:t>https://web.archive.org/web/20250618110541/https://www.icmagroup.org/assets/documents/Sustainable-finance/2021-updates/Sustainability-Bond-Guidelines-June-2021-140621.pdf</w:t>
            </w:r>
          </w:p>
          <w:p w14:paraId="53F72C40" w14:textId="77777777" w:rsidR="0074301E" w:rsidRDefault="0074301E" w:rsidP="0074301E">
            <w:pPr>
              <w:rPr>
                <w:rFonts w:ascii="Calibri" w:hAnsi="Calibri" w:cs="Calibri"/>
              </w:rPr>
            </w:pPr>
            <w:r w:rsidRPr="0074301E">
              <w:rPr>
                <w:rFonts w:ascii="Calibri" w:hAnsi="Calibri" w:cs="Calibri"/>
              </w:rPr>
              <w:t>LMA Green Loan Principles 2021</w:t>
            </w:r>
          </w:p>
          <w:p w14:paraId="0CC1ECD6" w14:textId="58ACF89F" w:rsidR="0074301E" w:rsidRPr="0074301E" w:rsidRDefault="0074301E" w:rsidP="0074301E">
            <w:pPr>
              <w:rPr>
                <w:rFonts w:ascii="Calibri" w:hAnsi="Calibri" w:cs="Calibri"/>
              </w:rPr>
            </w:pPr>
            <w:r w:rsidRPr="0074301E">
              <w:rPr>
                <w:rFonts w:ascii="Calibri" w:hAnsi="Calibri" w:cs="Calibri"/>
              </w:rPr>
              <w:t>https://web.archive.org/web/20250628132958/https://www.lsta.org/content/green-loan-principles/</w:t>
            </w:r>
          </w:p>
          <w:p w14:paraId="69156C0D" w14:textId="3C7FF2E8" w:rsidR="0074301E" w:rsidRDefault="0074301E" w:rsidP="0074301E">
            <w:pPr>
              <w:rPr>
                <w:rFonts w:ascii="Calibri" w:hAnsi="Calibri" w:cs="Calibri"/>
              </w:rPr>
            </w:pPr>
            <w:r w:rsidRPr="0074301E">
              <w:rPr>
                <w:rFonts w:ascii="Calibri" w:hAnsi="Calibri" w:cs="Calibri"/>
              </w:rPr>
              <w:lastRenderedPageBreak/>
              <w:t>LMA Social Loan Principles 2021</w:t>
            </w:r>
          </w:p>
          <w:p w14:paraId="60F91982" w14:textId="78072DC5" w:rsidR="0074301E" w:rsidRPr="0074301E" w:rsidRDefault="0074301E" w:rsidP="0074301E">
            <w:pPr>
              <w:rPr>
                <w:rFonts w:ascii="Calibri" w:hAnsi="Calibri" w:cs="Calibri"/>
              </w:rPr>
            </w:pPr>
            <w:r w:rsidRPr="0074301E">
              <w:rPr>
                <w:rFonts w:ascii="Calibri" w:hAnsi="Calibri" w:cs="Calibri"/>
              </w:rPr>
              <w:t>https://web.archive.org/web/20250628133348/https://www.lsta.org/content/social-loan-principles-slp/</w:t>
            </w:r>
          </w:p>
          <w:p w14:paraId="38DF2879" w14:textId="77777777" w:rsidR="0074301E" w:rsidRDefault="0074301E" w:rsidP="0074301E">
            <w:pPr>
              <w:rPr>
                <w:rFonts w:ascii="Calibri" w:hAnsi="Calibri" w:cs="Calibri"/>
              </w:rPr>
            </w:pPr>
            <w:r w:rsidRPr="0074301E">
              <w:rPr>
                <w:rFonts w:ascii="Calibri" w:hAnsi="Calibri" w:cs="Calibri"/>
              </w:rPr>
              <w:t xml:space="preserve">IFC Guidelines for Blue Finance (Jan 2022) </w:t>
            </w:r>
          </w:p>
          <w:p w14:paraId="51FAFE3C" w14:textId="32DB69E4" w:rsidR="00006679" w:rsidRPr="0074301E" w:rsidRDefault="00006679" w:rsidP="0074301E">
            <w:pPr>
              <w:rPr>
                <w:rFonts w:ascii="Calibri" w:hAnsi="Calibri" w:cs="Calibri"/>
              </w:rPr>
            </w:pPr>
            <w:r w:rsidRPr="00006679">
              <w:rPr>
                <w:rFonts w:ascii="Calibri" w:hAnsi="Calibri" w:cs="Calibri"/>
              </w:rPr>
              <w:t>https://web.archive.org/web/20250416113637/https://www.ifc.org/content/dam/ifc/doc/mgrt/ifc-guidelines-for-blue-finance.pdf</w:t>
            </w:r>
          </w:p>
          <w:p w14:paraId="1903CF25" w14:textId="77777777" w:rsidR="004B1F6B" w:rsidRDefault="0074301E" w:rsidP="0074301E">
            <w:pPr>
              <w:rPr>
                <w:rFonts w:ascii="Calibri" w:hAnsi="Calibri" w:cs="Calibri"/>
              </w:rPr>
            </w:pPr>
            <w:r w:rsidRPr="0074301E">
              <w:rPr>
                <w:rFonts w:ascii="Calibri" w:hAnsi="Calibri" w:cs="Calibri"/>
              </w:rPr>
              <w:t xml:space="preserve"> UN Bonds to Bridge the Gender Gap (Nov 2021)</w:t>
            </w:r>
          </w:p>
          <w:p w14:paraId="799C1AA4" w14:textId="5C5B0BB9" w:rsidR="00006679" w:rsidRPr="0074301E" w:rsidRDefault="00006679" w:rsidP="0074301E">
            <w:pPr>
              <w:rPr>
                <w:rFonts w:ascii="Calibri" w:hAnsi="Calibri" w:cs="Calibri"/>
              </w:rPr>
            </w:pPr>
            <w:r w:rsidRPr="00006679">
              <w:rPr>
                <w:rFonts w:ascii="Calibri" w:hAnsi="Calibri" w:cs="Calibri"/>
              </w:rPr>
              <w:t>https://web.archive.org/web/20250330062540/https://www.unwomen.org/sites/default/files/2021-11/Bonds-to-bridge-the-gender-gap-en.pdf</w:t>
            </w:r>
          </w:p>
        </w:tc>
      </w:tr>
      <w:bookmarkEnd w:id="7"/>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8" w:name="_Toc198223605"/>
      <w:r>
        <w:lastRenderedPageBreak/>
        <w:t>Domain 2: Transition Planning</w:t>
      </w:r>
      <w:bookmarkEnd w:id="8"/>
    </w:p>
    <w:p w14:paraId="0CA57B64" w14:textId="2923536F" w:rsidR="00F41EE0" w:rsidRDefault="005E50FD" w:rsidP="00F41EE0">
      <w:pPr>
        <w:pStyle w:val="Heading2"/>
      </w:pPr>
      <w:bookmarkStart w:id="9" w:name="_Toc198223606"/>
      <w:r>
        <w:t xml:space="preserve">Section 2.1: </w:t>
      </w:r>
      <w:r w:rsidR="00F41EE0">
        <w:t>Who is being targeted?</w:t>
      </w:r>
      <w:bookmarkEnd w:id="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D5D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0" w:name="_Toc198223607"/>
      <w:r>
        <w:lastRenderedPageBreak/>
        <w:t xml:space="preserve">Section 2.2: </w:t>
      </w:r>
      <w:r w:rsidR="00F41EE0">
        <w:t>Disclosure of Plans and Targets</w:t>
      </w:r>
      <w:bookmarkEnd w:id="10"/>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1" w:name="_Toc198223608"/>
      <w:r>
        <w:t xml:space="preserve">Section 2.3: </w:t>
      </w:r>
      <w:r w:rsidR="00F41EE0">
        <w:t>Target Setting</w:t>
      </w:r>
      <w:bookmarkEnd w:id="1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2" w:name="_Toc198223609"/>
      <w:r>
        <w:t xml:space="preserve">Section 2.4: </w:t>
      </w:r>
      <w:r w:rsidR="00951BBE">
        <w:t>GHG Emissions Reductions Targets</w:t>
      </w:r>
      <w:bookmarkEnd w:id="1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3" w:name="_Toc198223610"/>
      <w:r>
        <w:t xml:space="preserve">Section 2.5: </w:t>
      </w:r>
      <w:r w:rsidR="00950B68">
        <w:t>Transition Planning</w:t>
      </w:r>
      <w:bookmarkEnd w:id="1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4" w:name="_Toc198223611"/>
      <w:r>
        <w:t xml:space="preserve">Section 2.6: </w:t>
      </w:r>
      <w:r w:rsidR="00950B68">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5" w:name="_Toc198223612"/>
      <w:r>
        <w:lastRenderedPageBreak/>
        <w:t>Domain 3: Public Procurement</w:t>
      </w:r>
      <w:bookmarkEnd w:id="15"/>
      <w:r>
        <w:t xml:space="preserve"> </w:t>
      </w:r>
    </w:p>
    <w:p w14:paraId="0D8B4B9F" w14:textId="5E2943CF" w:rsidR="00950B68" w:rsidRPr="00950B68" w:rsidRDefault="005E50FD" w:rsidP="00950B68">
      <w:pPr>
        <w:pStyle w:val="Heading2"/>
      </w:pPr>
      <w:bookmarkStart w:id="16" w:name="_Toc198223613"/>
      <w:r>
        <w:t xml:space="preserve">Section 3.1: </w:t>
      </w:r>
      <w:r w:rsidR="00950B68">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080DEA19" w:rsidR="00D4323A" w:rsidRPr="00610F28" w:rsidRDefault="00D4323A" w:rsidP="00610F28">
            <w:pPr>
              <w:rPr>
                <w:rFonts w:ascii="Calibri" w:hAnsi="Calibri" w:cs="Calibri"/>
              </w:rPr>
            </w:pPr>
          </w:p>
        </w:tc>
        <w:tc>
          <w:tcPr>
            <w:tcW w:w="1740" w:type="dxa"/>
            <w:vAlign w:val="center"/>
          </w:tcPr>
          <w:p w14:paraId="7257E4AC" w14:textId="717D78AD" w:rsidR="00D4323A" w:rsidRPr="00610F28" w:rsidRDefault="008625B0"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2CBE3A46" w:rsidR="00D4323A" w:rsidRPr="00610F28" w:rsidRDefault="00D4323A" w:rsidP="00610F28">
            <w:pPr>
              <w:rPr>
                <w:rFonts w:ascii="Calibri" w:hAnsi="Calibri" w:cs="Calibri"/>
              </w:rPr>
            </w:pPr>
          </w:p>
        </w:tc>
        <w:tc>
          <w:tcPr>
            <w:tcW w:w="1740" w:type="dxa"/>
            <w:vAlign w:val="center"/>
          </w:tcPr>
          <w:p w14:paraId="73C261DC" w14:textId="18CE47B4" w:rsidR="00D4323A" w:rsidRPr="00610F28" w:rsidRDefault="00F076B1"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28425A25" w:rsidR="00D4323A" w:rsidRPr="00610F28" w:rsidRDefault="00D4323A" w:rsidP="00610F28">
            <w:pPr>
              <w:rPr>
                <w:rFonts w:ascii="Calibri" w:hAnsi="Calibri" w:cs="Calibri"/>
              </w:rPr>
            </w:pPr>
          </w:p>
        </w:tc>
        <w:tc>
          <w:tcPr>
            <w:tcW w:w="1740" w:type="dxa"/>
            <w:vAlign w:val="center"/>
          </w:tcPr>
          <w:p w14:paraId="6442287D" w14:textId="3BADC198" w:rsidR="00D4323A" w:rsidRPr="00610F28" w:rsidRDefault="008625B0"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04C0FAE6" w:rsidR="00D4323A" w:rsidRPr="00610F28" w:rsidRDefault="00292C9C"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A660D36" w:rsidR="00D4323A" w:rsidRPr="00610F28" w:rsidRDefault="00292C9C"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3815D1A5" w:rsidR="00D4323A" w:rsidRPr="00610F28" w:rsidRDefault="00292C9C"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381878B0" w:rsidR="00D4323A" w:rsidRPr="00610F28" w:rsidRDefault="00292C9C"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1DDAD84C" w:rsidR="00D4323A" w:rsidRPr="00610F28" w:rsidRDefault="00292C9C" w:rsidP="00610F28">
            <w:pPr>
              <w:rPr>
                <w:rFonts w:ascii="Calibri" w:hAnsi="Calibri" w:cs="Calibri"/>
              </w:rPr>
            </w:pPr>
            <w:r>
              <w:rPr>
                <w:rFonts w:ascii="Calibri" w:hAnsi="Calibri" w:cs="Calibri"/>
              </w:rPr>
              <w:t>X</w:t>
            </w: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6FA8A5B6" w:rsidR="00D4323A" w:rsidRPr="00610F28" w:rsidRDefault="00292C9C"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33EA299C" w:rsidR="00D4323A" w:rsidRPr="00610F28" w:rsidRDefault="00292C9C"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394B0E21" w:rsidR="00D4323A" w:rsidRPr="00610F28" w:rsidRDefault="00292C9C"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0F69D445" w:rsidR="00D4323A" w:rsidRPr="00610F28" w:rsidRDefault="00292C9C"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1DBB48F" w:rsidR="00D4323A" w:rsidRPr="00610F28" w:rsidRDefault="00140AD5" w:rsidP="00610F28">
            <w:pPr>
              <w:rPr>
                <w:rFonts w:ascii="Calibri" w:hAnsi="Calibri" w:cs="Calibri"/>
              </w:rPr>
            </w:pPr>
            <w:r>
              <w:rPr>
                <w:rFonts w:ascii="Calibri" w:hAnsi="Calibri" w:cs="Calibri"/>
              </w:rPr>
              <w:t xml:space="preserve">  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B84F13A"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1784F748" w:rsidR="00C66EE0" w:rsidRPr="00610F28" w:rsidRDefault="00A46B53" w:rsidP="00610F28">
            <w:pPr>
              <w:rPr>
                <w:rFonts w:ascii="Calibri" w:hAnsi="Calibri" w:cs="Calibri"/>
              </w:rPr>
            </w:pPr>
            <w:r>
              <w:rPr>
                <w:rFonts w:ascii="Calibri" w:hAnsi="Calibri" w:cs="Calibri"/>
              </w:rPr>
              <w:t>Ministry of Finance</w:t>
            </w:r>
            <w:r w:rsidR="006B0E74">
              <w:rPr>
                <w:rFonts w:ascii="Calibri" w:hAnsi="Calibri" w:cs="Calibri"/>
              </w:rPr>
              <w:t xml:space="preserve"> and the SFWG (comprising of</w:t>
            </w:r>
            <w:r w:rsidR="00CF6713">
              <w:rPr>
                <w:rFonts w:ascii="Calibri" w:hAnsi="Calibri" w:cs="Calibri"/>
              </w:rPr>
              <w:t xml:space="preserve"> various other ministries, as noted above)</w:t>
            </w:r>
            <w:r w:rsidR="002B6201">
              <w:rPr>
                <w:rFonts w:ascii="Calibri" w:hAnsi="Calibri" w:cs="Calibri"/>
              </w:rPr>
              <w:t xml:space="preserve"> are targeted in their capacity to allocate the proceeds of debt instruments to eligible projects</w:t>
            </w:r>
            <w:r w:rsidR="00CF6713">
              <w:rPr>
                <w:rFonts w:ascii="Calibri" w:hAnsi="Calibri" w:cs="Calibri"/>
              </w:rPr>
              <w:t>.</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D5D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47010895" w:rsidR="00C66EE0" w:rsidRPr="00610F28" w:rsidRDefault="00470A7E" w:rsidP="00610F28">
            <w:pPr>
              <w:rPr>
                <w:rFonts w:ascii="Calibri" w:hAnsi="Calibri" w:cs="Calibri"/>
              </w:rPr>
            </w:pPr>
            <w:r>
              <w:rPr>
                <w:rFonts w:ascii="Calibri" w:hAnsi="Calibri" w:cs="Calibri"/>
              </w:rPr>
              <w:t>X</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0DB3179F" w:rsidR="00C66EE0" w:rsidRPr="00610F28" w:rsidRDefault="00470A7E" w:rsidP="00610F28">
            <w:pPr>
              <w:rPr>
                <w:rFonts w:ascii="Calibri" w:hAnsi="Calibri" w:cs="Calibri"/>
              </w:rPr>
            </w:pPr>
            <w:r>
              <w:rPr>
                <w:rFonts w:ascii="Calibri" w:hAnsi="Calibri" w:cs="Calibri"/>
              </w:rPr>
              <w:t>X</w:t>
            </w: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04BDFE31"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5405FEA2"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5435B5CE" w:rsidR="00C66EE0" w:rsidRPr="00610F28" w:rsidRDefault="002C5FC4" w:rsidP="00610F28">
            <w:pPr>
              <w:rPr>
                <w:rFonts w:ascii="Calibri" w:hAnsi="Calibri" w:cs="Calibri"/>
              </w:rPr>
            </w:pPr>
            <w:r>
              <w:rPr>
                <w:rFonts w:ascii="Calibri" w:hAnsi="Calibri" w:cs="Calibri"/>
              </w:rPr>
              <w:t>X</w:t>
            </w: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4EB43E90" w:rsidR="007B7083" w:rsidRPr="00610F28" w:rsidRDefault="002C5FC4" w:rsidP="00610F28">
            <w:pPr>
              <w:rPr>
                <w:rFonts w:ascii="Calibri" w:hAnsi="Calibri" w:cs="Calibri"/>
              </w:rPr>
            </w:pPr>
            <w:r>
              <w:rPr>
                <w:rFonts w:ascii="Calibri" w:hAnsi="Calibri" w:cs="Calibri"/>
              </w:rPr>
              <w:t xml:space="preserve">The SFWG </w:t>
            </w:r>
            <w:r w:rsidR="00E67FAF">
              <w:rPr>
                <w:rFonts w:ascii="Calibri" w:hAnsi="Calibri" w:cs="Calibri"/>
              </w:rPr>
              <w:t>/ Ministry of Finance do not have specific sanctions set out in the policy document for misapplication of funds but they do have reporting obligations and external party verification in place</w:t>
            </w:r>
            <w:r w:rsidR="002B2AEA">
              <w:rPr>
                <w:rFonts w:ascii="Calibri" w:hAnsi="Calibri" w:cs="Calibri"/>
              </w:rPr>
              <w:t xml:space="preserve"> to assess the allocation </w:t>
            </w:r>
            <w:r w:rsidR="00A871DD">
              <w:rPr>
                <w:rFonts w:ascii="Calibri" w:hAnsi="Calibri" w:cs="Calibri"/>
              </w:rPr>
              <w:t>of net proceeds to eligible expenditures and impact reporting on an annual basis</w:t>
            </w:r>
            <w:r w:rsidR="00E67FAF">
              <w:rPr>
                <w:rFonts w:ascii="Calibri" w:hAnsi="Calibri" w:cs="Calibri"/>
              </w:rPr>
              <w:t xml:space="preserve"> (</w:t>
            </w:r>
            <w:r w:rsidR="002B2AEA">
              <w:rPr>
                <w:rFonts w:ascii="Calibri" w:hAnsi="Calibri" w:cs="Calibri"/>
              </w:rPr>
              <w:t>section 6.2).</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9122AE" w:rsidRDefault="00C66EE0" w:rsidP="00610F28">
            <w:pPr>
              <w:rPr>
                <w:rFonts w:ascii="Calibri" w:hAnsi="Calibri" w:cs="Calibri"/>
              </w:rPr>
            </w:pPr>
            <w:r w:rsidRPr="009122AE">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3696C647" w:rsidR="00C66EE0" w:rsidRPr="00610F28" w:rsidRDefault="009122AE" w:rsidP="00610F28">
            <w:pPr>
              <w:rPr>
                <w:rFonts w:ascii="Calibri" w:hAnsi="Calibri" w:cs="Calibri"/>
              </w:rPr>
            </w:pPr>
            <w:r>
              <w:rPr>
                <w:rFonts w:ascii="Calibri" w:hAnsi="Calibri" w:cs="Calibri"/>
              </w:rPr>
              <w:t>X</w:t>
            </w: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9122AE" w:rsidRPr="00610F28" w14:paraId="370AC42C" w14:textId="77777777" w:rsidTr="00610F28">
        <w:trPr>
          <w:trHeight w:val="1020"/>
        </w:trPr>
        <w:tc>
          <w:tcPr>
            <w:tcW w:w="1066" w:type="dxa"/>
            <w:vAlign w:val="center"/>
          </w:tcPr>
          <w:p w14:paraId="26B54535" w14:textId="77777777" w:rsidR="009122AE" w:rsidRPr="00610F28" w:rsidRDefault="009122AE" w:rsidP="009122AE">
            <w:pPr>
              <w:rPr>
                <w:rFonts w:ascii="Calibri" w:hAnsi="Calibri" w:cs="Calibri"/>
              </w:rPr>
            </w:pPr>
          </w:p>
        </w:tc>
        <w:tc>
          <w:tcPr>
            <w:tcW w:w="9374" w:type="dxa"/>
            <w:gridSpan w:val="4"/>
            <w:shd w:val="clear" w:color="auto" w:fill="auto"/>
            <w:vAlign w:val="center"/>
          </w:tcPr>
          <w:p w14:paraId="132CC192" w14:textId="37AC8225" w:rsidR="009122AE" w:rsidRPr="00610F28" w:rsidRDefault="009122AE" w:rsidP="009122AE">
            <w:pPr>
              <w:rPr>
                <w:rFonts w:ascii="Calibri" w:hAnsi="Calibri" w:cs="Calibri"/>
              </w:rPr>
            </w:pPr>
            <w:r>
              <w:rPr>
                <w:color w:val="000000" w:themeColor="text1"/>
              </w:rPr>
              <w:t xml:space="preserve">Following the policy tool, </w:t>
            </w:r>
            <w:r w:rsidRPr="00205AAF">
              <w:rPr>
                <w:color w:val="000000" w:themeColor="text1"/>
              </w:rPr>
              <w:t>Ministry of Planning, Economic Development and International Cooperation</w:t>
            </w:r>
            <w:r>
              <w:rPr>
                <w:color w:val="000000" w:themeColor="text1"/>
              </w:rPr>
              <w:t xml:space="preserve"> Launched in 2024, </w:t>
            </w:r>
            <w:r w:rsidRPr="007A186D">
              <w:rPr>
                <w:color w:val="000000" w:themeColor="text1"/>
              </w:rPr>
              <w:t>Egypt's Integrated National Financing Strategy (E-INFS) provides a comprehensive framework for financing the SDGs. It explicitly references the sustainable sovereign financing framework as a key aligni</w:t>
            </w:r>
            <w:r>
              <w:rPr>
                <w:color w:val="000000" w:themeColor="text1"/>
              </w:rPr>
              <w:t>ng tool.</w:t>
            </w:r>
            <w:r>
              <w:rPr>
                <w:color w:val="000000" w:themeColor="text1"/>
              </w:rPr>
              <w:br/>
            </w:r>
            <w:r>
              <w:rPr>
                <w:color w:val="000000" w:themeColor="text1"/>
              </w:rPr>
              <w:br/>
            </w:r>
            <w:r w:rsidR="00C57626" w:rsidRPr="00C57626">
              <w:rPr>
                <w:color w:val="000000" w:themeColor="text1"/>
              </w:rPr>
              <w:t>https://web.archive.org/web/20250327212635/https://mped.gov.eg/adminpanel/sharedFiles/EGYPT%E2%80%99s_Integrated_National_Financing_16-9-2024_123.pdf</w:t>
            </w:r>
          </w:p>
        </w:tc>
      </w:tr>
      <w:tr w:rsidR="009122AE" w:rsidRPr="00610F28" w14:paraId="43CE4FE9" w14:textId="77777777" w:rsidTr="00610F28">
        <w:trPr>
          <w:trHeight w:val="1475"/>
        </w:trPr>
        <w:tc>
          <w:tcPr>
            <w:tcW w:w="1066" w:type="dxa"/>
            <w:vAlign w:val="center"/>
          </w:tcPr>
          <w:p w14:paraId="3314A66D" w14:textId="3278FB5D" w:rsidR="009122AE" w:rsidRPr="00610F28" w:rsidRDefault="009122AE" w:rsidP="009122AE">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9122AE" w:rsidRPr="00610F28" w:rsidRDefault="009122AE" w:rsidP="009122AE">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9122AE" w:rsidRPr="00610F28" w:rsidRDefault="009122AE" w:rsidP="009122AE">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9122AE" w:rsidRPr="00610F28" w:rsidRDefault="009122AE" w:rsidP="009122AE">
            <w:pPr>
              <w:rPr>
                <w:rFonts w:ascii="Calibri" w:hAnsi="Calibri" w:cs="Calibri"/>
              </w:rPr>
            </w:pPr>
            <w:r w:rsidRPr="00610F28">
              <w:rPr>
                <w:rFonts w:ascii="Calibri" w:hAnsi="Calibri" w:cs="Calibri"/>
              </w:rPr>
              <w:t xml:space="preserve">Select the appropriate response using an X.   </w:t>
            </w:r>
          </w:p>
        </w:tc>
      </w:tr>
      <w:tr w:rsidR="009122AE" w:rsidRPr="00610F28" w14:paraId="70334481" w14:textId="77777777" w:rsidTr="00610F28">
        <w:trPr>
          <w:trHeight w:val="440"/>
        </w:trPr>
        <w:tc>
          <w:tcPr>
            <w:tcW w:w="1066" w:type="dxa"/>
            <w:vAlign w:val="center"/>
          </w:tcPr>
          <w:p w14:paraId="5CDC8498" w14:textId="0AEA94F7" w:rsidR="009122AE" w:rsidRPr="00610F28" w:rsidRDefault="009122AE" w:rsidP="009122AE">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9122AE" w:rsidRPr="00610F28" w:rsidRDefault="009122AE" w:rsidP="009122AE">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31D7C4D9" w:rsidR="009122AE" w:rsidRPr="00610F28" w:rsidRDefault="00CC32D1" w:rsidP="009122AE">
            <w:pPr>
              <w:rPr>
                <w:rFonts w:ascii="Calibri" w:hAnsi="Calibri" w:cs="Calibri"/>
              </w:rPr>
            </w:pPr>
            <w:r>
              <w:rPr>
                <w:rFonts w:ascii="Calibri" w:hAnsi="Calibri" w:cs="Calibri"/>
              </w:rPr>
              <w:t>X</w:t>
            </w:r>
          </w:p>
        </w:tc>
      </w:tr>
      <w:tr w:rsidR="009122AE" w:rsidRPr="00610F28" w14:paraId="5C320E29" w14:textId="77777777" w:rsidTr="00610F28">
        <w:trPr>
          <w:trHeight w:val="440"/>
        </w:trPr>
        <w:tc>
          <w:tcPr>
            <w:tcW w:w="1066" w:type="dxa"/>
            <w:vAlign w:val="center"/>
          </w:tcPr>
          <w:p w14:paraId="79D7F894" w14:textId="22A8C001" w:rsidR="009122AE" w:rsidRPr="00610F28" w:rsidRDefault="009122AE" w:rsidP="009122AE">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9122AE" w:rsidRPr="00610F28" w:rsidRDefault="009122AE" w:rsidP="009122AE">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9122AE" w:rsidRPr="00610F28" w:rsidRDefault="009122AE" w:rsidP="009122AE">
            <w:pPr>
              <w:rPr>
                <w:rFonts w:ascii="Calibri" w:hAnsi="Calibri" w:cs="Calibri"/>
              </w:rPr>
            </w:pPr>
          </w:p>
        </w:tc>
      </w:tr>
      <w:tr w:rsidR="009122AE" w:rsidRPr="00610F28" w14:paraId="679D0367" w14:textId="77777777" w:rsidTr="00610F28">
        <w:trPr>
          <w:trHeight w:val="1160"/>
        </w:trPr>
        <w:tc>
          <w:tcPr>
            <w:tcW w:w="1066" w:type="dxa"/>
            <w:vAlign w:val="center"/>
          </w:tcPr>
          <w:p w14:paraId="0756115E" w14:textId="643FA9E4" w:rsidR="009122AE" w:rsidRPr="00610F28" w:rsidRDefault="009122AE" w:rsidP="009122AE">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9122AE" w:rsidRPr="00610F28" w:rsidRDefault="009122AE" w:rsidP="009122AE">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9122AE" w:rsidRPr="00610F28" w14:paraId="79157442" w14:textId="77777777" w:rsidTr="00610F28">
        <w:trPr>
          <w:trHeight w:val="1020"/>
        </w:trPr>
        <w:tc>
          <w:tcPr>
            <w:tcW w:w="1066" w:type="dxa"/>
            <w:vAlign w:val="center"/>
          </w:tcPr>
          <w:p w14:paraId="0D986A27" w14:textId="77777777" w:rsidR="009122AE" w:rsidRPr="00610F28" w:rsidRDefault="009122AE" w:rsidP="009122AE">
            <w:pPr>
              <w:rPr>
                <w:rFonts w:ascii="Calibri" w:hAnsi="Calibri" w:cs="Calibri"/>
              </w:rPr>
            </w:pPr>
          </w:p>
        </w:tc>
        <w:tc>
          <w:tcPr>
            <w:tcW w:w="9374" w:type="dxa"/>
            <w:gridSpan w:val="4"/>
            <w:shd w:val="clear" w:color="auto" w:fill="auto"/>
            <w:vAlign w:val="center"/>
          </w:tcPr>
          <w:p w14:paraId="2B2D0494" w14:textId="77777777" w:rsidR="009122AE" w:rsidRPr="00610F28" w:rsidRDefault="009122AE" w:rsidP="009122AE">
            <w:pPr>
              <w:rPr>
                <w:rFonts w:ascii="Calibri" w:hAnsi="Calibri" w:cs="Calibri"/>
              </w:rPr>
            </w:pPr>
          </w:p>
        </w:tc>
      </w:tr>
      <w:tr w:rsidR="009122AE" w:rsidRPr="00610F28" w14:paraId="5DB409C1" w14:textId="77777777" w:rsidTr="00610F28">
        <w:trPr>
          <w:trHeight w:val="1070"/>
        </w:trPr>
        <w:tc>
          <w:tcPr>
            <w:tcW w:w="1066" w:type="dxa"/>
            <w:vAlign w:val="center"/>
          </w:tcPr>
          <w:p w14:paraId="471A07A7" w14:textId="7299153E" w:rsidR="009122AE" w:rsidRPr="00610F28" w:rsidRDefault="009122AE" w:rsidP="009122A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9122AE" w:rsidRPr="00610F28" w:rsidRDefault="009122AE" w:rsidP="009122AE">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9122AE" w:rsidRPr="00610F28" w:rsidRDefault="009122AE" w:rsidP="009122AE">
            <w:pPr>
              <w:rPr>
                <w:rFonts w:ascii="Calibri" w:hAnsi="Calibri" w:cs="Calibri"/>
              </w:rPr>
            </w:pPr>
            <w:r w:rsidRPr="00610F28">
              <w:rPr>
                <w:rFonts w:ascii="Calibri" w:hAnsi="Calibri" w:cs="Calibri"/>
              </w:rPr>
              <w:lastRenderedPageBreak/>
              <w:t xml:space="preserve">Select the appropriate response using an X.   </w:t>
            </w:r>
          </w:p>
        </w:tc>
      </w:tr>
      <w:tr w:rsidR="009122AE" w:rsidRPr="00610F28" w14:paraId="4E57F3A8" w14:textId="77777777" w:rsidTr="00610F28">
        <w:trPr>
          <w:trHeight w:val="440"/>
        </w:trPr>
        <w:tc>
          <w:tcPr>
            <w:tcW w:w="1066" w:type="dxa"/>
            <w:vAlign w:val="center"/>
          </w:tcPr>
          <w:p w14:paraId="5EE72314" w14:textId="6C4FAD6D" w:rsidR="009122AE" w:rsidRPr="00610F28" w:rsidRDefault="009122AE" w:rsidP="009122AE">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9122AE" w:rsidRPr="00610F28" w:rsidRDefault="009122AE" w:rsidP="009122AE">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42F7B4FA" w:rsidR="009122AE" w:rsidRPr="00610F28" w:rsidRDefault="00E533A4" w:rsidP="009122AE">
            <w:pPr>
              <w:rPr>
                <w:rFonts w:ascii="Calibri" w:hAnsi="Calibri" w:cs="Calibri"/>
              </w:rPr>
            </w:pPr>
            <w:r>
              <w:rPr>
                <w:rFonts w:ascii="Calibri" w:hAnsi="Calibri" w:cs="Calibri"/>
              </w:rPr>
              <w:t>X</w:t>
            </w:r>
          </w:p>
        </w:tc>
      </w:tr>
      <w:tr w:rsidR="009122AE" w:rsidRPr="00610F28" w14:paraId="66FCE0A9" w14:textId="77777777" w:rsidTr="00610F28">
        <w:trPr>
          <w:trHeight w:val="350"/>
        </w:trPr>
        <w:tc>
          <w:tcPr>
            <w:tcW w:w="1066" w:type="dxa"/>
            <w:vAlign w:val="center"/>
          </w:tcPr>
          <w:p w14:paraId="1F2B50B8" w14:textId="2ED7799F" w:rsidR="009122AE" w:rsidRPr="00610F28" w:rsidRDefault="009122AE" w:rsidP="009122AE">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9122AE" w:rsidRPr="00610F28" w:rsidRDefault="009122AE" w:rsidP="009122AE">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9122AE" w:rsidRPr="00610F28" w:rsidRDefault="009122AE" w:rsidP="009122AE">
            <w:pPr>
              <w:rPr>
                <w:rFonts w:ascii="Calibri" w:hAnsi="Calibri" w:cs="Calibri"/>
              </w:rPr>
            </w:pPr>
          </w:p>
        </w:tc>
      </w:tr>
      <w:tr w:rsidR="009122AE" w:rsidRPr="00610F28" w14:paraId="544258E4" w14:textId="77777777" w:rsidTr="00610F28">
        <w:trPr>
          <w:trHeight w:val="766"/>
        </w:trPr>
        <w:tc>
          <w:tcPr>
            <w:tcW w:w="1066" w:type="dxa"/>
            <w:vAlign w:val="center"/>
          </w:tcPr>
          <w:p w14:paraId="0E4392C8" w14:textId="2612801B" w:rsidR="009122AE" w:rsidRPr="00610F28" w:rsidRDefault="009122AE" w:rsidP="009122AE">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9122AE" w:rsidRPr="00610F28" w:rsidRDefault="009122AE" w:rsidP="009122AE">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E533A4" w:rsidRPr="00610F28" w14:paraId="55F51CA1" w14:textId="77777777" w:rsidTr="00610F28">
        <w:trPr>
          <w:trHeight w:val="1020"/>
        </w:trPr>
        <w:tc>
          <w:tcPr>
            <w:tcW w:w="1066" w:type="dxa"/>
            <w:vAlign w:val="center"/>
          </w:tcPr>
          <w:p w14:paraId="10590CC8" w14:textId="77777777" w:rsidR="00E533A4" w:rsidRPr="00610F28" w:rsidRDefault="00E533A4" w:rsidP="00E533A4">
            <w:pPr>
              <w:rPr>
                <w:rFonts w:ascii="Calibri" w:hAnsi="Calibri" w:cs="Calibri"/>
              </w:rPr>
            </w:pPr>
          </w:p>
        </w:tc>
        <w:tc>
          <w:tcPr>
            <w:tcW w:w="9374" w:type="dxa"/>
            <w:gridSpan w:val="4"/>
            <w:shd w:val="clear" w:color="auto" w:fill="auto"/>
            <w:vAlign w:val="center"/>
          </w:tcPr>
          <w:p w14:paraId="434C01FD" w14:textId="7E2714B7" w:rsidR="00E533A4" w:rsidRPr="00610F28" w:rsidRDefault="00E533A4" w:rsidP="00E533A4">
            <w:pPr>
              <w:rPr>
                <w:rFonts w:ascii="Calibri" w:hAnsi="Calibri" w:cs="Calibri"/>
              </w:rPr>
            </w:pPr>
            <w:r w:rsidRPr="00610F28">
              <w:rPr>
                <w:rFonts w:ascii="Calibri" w:hAnsi="Calibri" w:cs="Calibri"/>
              </w:rPr>
              <w:t>No known involvement in litigation</w:t>
            </w:r>
          </w:p>
        </w:tc>
      </w:tr>
      <w:bookmarkEnd w:id="17"/>
      <w:bookmarkEnd w:id="18"/>
    </w:tbl>
    <w:p w14:paraId="712268FA" w14:textId="77777777" w:rsidR="00B802FC" w:rsidRDefault="00B802FC"/>
    <w:p w14:paraId="59E94F30" w14:textId="5EC9D13E" w:rsidR="00436F24" w:rsidRDefault="005E50FD" w:rsidP="00436F24">
      <w:pPr>
        <w:pStyle w:val="Heading2"/>
      </w:pPr>
      <w:bookmarkStart w:id="19" w:name="_Toc198223614"/>
      <w:r>
        <w:t xml:space="preserve">Section 3.2: </w:t>
      </w:r>
      <w:r w:rsidR="00436F24">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390F7A4A" w:rsidR="00DF50B5" w:rsidRPr="00610F28" w:rsidRDefault="00257538"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42A70FC1" w:rsidR="00DF50B5" w:rsidRPr="00610F28" w:rsidRDefault="00CC32D1" w:rsidP="00257538">
            <w:pPr>
              <w:rPr>
                <w:rFonts w:ascii="Calibri" w:hAnsi="Calibri" w:cs="Calibri"/>
              </w:rPr>
            </w:pPr>
            <w:r>
              <w:rPr>
                <w:rFonts w:ascii="Calibri" w:hAnsi="Calibri" w:cs="Calibri"/>
              </w:rPr>
              <w:t>If bonds are issued pursuant to the policy tool, then any proceeds must be applied in accordance with the policy tool</w:t>
            </w:r>
            <w:r w:rsidR="00C67467">
              <w:rPr>
                <w:rFonts w:ascii="Calibri" w:hAnsi="Calibri" w:cs="Calibri"/>
              </w:rPr>
              <w:t>. S</w:t>
            </w:r>
            <w:r w:rsidR="00257538">
              <w:rPr>
                <w:rFonts w:ascii="Calibri" w:hAnsi="Calibri" w:cs="Calibri"/>
              </w:rPr>
              <w:t>ection 5.1</w:t>
            </w:r>
            <w:r w:rsidR="00C67467">
              <w:rPr>
                <w:rFonts w:ascii="Calibri" w:hAnsi="Calibri" w:cs="Calibri"/>
              </w:rPr>
              <w:t xml:space="preserve"> provides that</w:t>
            </w:r>
            <w:r w:rsidR="00257538">
              <w:rPr>
                <w:rFonts w:ascii="Calibri" w:hAnsi="Calibri" w:cs="Calibri"/>
              </w:rPr>
              <w:t xml:space="preserve"> while assessing eligible projects</w:t>
            </w:r>
            <w:r w:rsidR="005B3825">
              <w:rPr>
                <w:rFonts w:ascii="Calibri" w:hAnsi="Calibri" w:cs="Calibri"/>
              </w:rPr>
              <w:t>,</w:t>
            </w:r>
            <w:r w:rsidR="00257538">
              <w:rPr>
                <w:rFonts w:ascii="Calibri" w:hAnsi="Calibri" w:cs="Calibri"/>
              </w:rPr>
              <w:t xml:space="preserve"> </w:t>
            </w:r>
            <w:r w:rsidR="005B3825">
              <w:rPr>
                <w:rFonts w:ascii="Calibri" w:hAnsi="Calibri" w:cs="Calibri"/>
              </w:rPr>
              <w:t xml:space="preserve">the SFWG </w:t>
            </w:r>
            <w:r w:rsidR="009226C3">
              <w:rPr>
                <w:rFonts w:ascii="Calibri" w:hAnsi="Calibri" w:cs="Calibri"/>
              </w:rPr>
              <w:t>(including the Ministry of Finance)</w:t>
            </w:r>
            <w:r w:rsidR="005B3825" w:rsidRPr="00257538">
              <w:rPr>
                <w:rFonts w:ascii="Calibri" w:hAnsi="Calibri" w:cs="Calibri"/>
              </w:rPr>
              <w:t xml:space="preserve"> </w:t>
            </w:r>
            <w:r w:rsidR="00257538" w:rsidRPr="00257538">
              <w:rPr>
                <w:rFonts w:ascii="Calibri" w:hAnsi="Calibri" w:cs="Calibri"/>
              </w:rPr>
              <w:t xml:space="preserve">will conduct due diligence on the Use of Proceeds outlined in the Green and Social project categories under the Framework to </w:t>
            </w:r>
            <w:r w:rsidR="00257538">
              <w:rPr>
                <w:rFonts w:ascii="Calibri" w:hAnsi="Calibri" w:cs="Calibri"/>
              </w:rPr>
              <w:t>choose</w:t>
            </w:r>
            <w:r w:rsidR="00257538" w:rsidRPr="00257538">
              <w:rPr>
                <w:rFonts w:ascii="Calibri" w:hAnsi="Calibri" w:cs="Calibri"/>
              </w:rPr>
              <w:t xml:space="preserve"> the most appropriate and impactful projects taking into account the </w:t>
            </w:r>
            <w:r w:rsidR="00AD4047">
              <w:rPr>
                <w:rFonts w:ascii="Calibri" w:hAnsi="Calibri" w:cs="Calibri"/>
              </w:rPr>
              <w:t>adoption</w:t>
            </w:r>
            <w:r w:rsidR="00257538" w:rsidRPr="00257538">
              <w:rPr>
                <w:rFonts w:ascii="Calibri" w:hAnsi="Calibri" w:cs="Calibri"/>
              </w:rPr>
              <w:t xml:space="preserve"> environmental and social safeguards.</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2E2C5A56" w:rsidR="00DF50B5" w:rsidRPr="00610F28" w:rsidRDefault="00AD4047" w:rsidP="00610F28">
            <w:pPr>
              <w:rPr>
                <w:rFonts w:ascii="Calibri" w:hAnsi="Calibri" w:cs="Calibri"/>
              </w:rPr>
            </w:pPr>
            <w:r>
              <w:rPr>
                <w:rFonts w:ascii="Calibri" w:hAnsi="Calibri" w:cs="Calibri"/>
              </w:rPr>
              <w:t>X</w:t>
            </w: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lastRenderedPageBreak/>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69273F3" w:rsidR="00DF50B5" w:rsidRPr="00610F28" w:rsidRDefault="00AD4047" w:rsidP="00610F28">
            <w:pPr>
              <w:rPr>
                <w:rFonts w:ascii="Calibri" w:hAnsi="Calibri" w:cs="Calibri"/>
              </w:rPr>
            </w:pPr>
            <w:r>
              <w:rPr>
                <w:rFonts w:ascii="Calibri" w:hAnsi="Calibri" w:cs="Calibri"/>
              </w:rPr>
              <w:t>X</w:t>
            </w: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6B7738E5" w:rsidR="00DF50B5" w:rsidRPr="00610F28" w:rsidRDefault="00AD4047"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7CEA0B3" w:rsidR="00DF50B5" w:rsidRPr="00610F28" w:rsidRDefault="00AD4047"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4B7E84F1" w:rsidR="00DF50B5" w:rsidRPr="00610F28" w:rsidRDefault="00AD4047"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4FBEF68E" w:rsidR="00DF50B5" w:rsidRPr="00610F28" w:rsidRDefault="00AD4047"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3711CEED" w:rsidR="00DF50B5" w:rsidRPr="00610F28" w:rsidRDefault="008D6D3B" w:rsidP="00610F28">
            <w:pPr>
              <w:rPr>
                <w:rFonts w:ascii="Calibri" w:hAnsi="Calibri" w:cs="Calibri"/>
              </w:rPr>
            </w:pPr>
            <w:r>
              <w:rPr>
                <w:rFonts w:ascii="Calibri" w:hAnsi="Calibri" w:cs="Calibri"/>
              </w:rPr>
              <w:t>X</w:t>
            </w: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413C29BF" w:rsidR="00DF50B5" w:rsidRPr="00610F28" w:rsidRDefault="008D6D3B" w:rsidP="00610F28">
            <w:pPr>
              <w:rPr>
                <w:rFonts w:ascii="Calibri" w:hAnsi="Calibri" w:cs="Calibri"/>
              </w:rPr>
            </w:pPr>
            <w:r>
              <w:rPr>
                <w:rFonts w:ascii="Calibri" w:hAnsi="Calibri" w:cs="Calibri"/>
              </w:rPr>
              <w:t>X</w:t>
            </w: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3C1A6173" w:rsidR="00DF50B5" w:rsidRPr="00610F28" w:rsidRDefault="008D6D3B"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lastRenderedPageBreak/>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B19432E" w:rsidR="00DF50B5" w:rsidRPr="00610F28" w:rsidRDefault="008D6D3B"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33323B5" w:rsidR="00DF50B5" w:rsidRPr="00610F28" w:rsidRDefault="008D6D3B" w:rsidP="00610F28">
            <w:pPr>
              <w:rPr>
                <w:rFonts w:ascii="Calibri" w:hAnsi="Calibri" w:cs="Calibri"/>
              </w:rPr>
            </w:pPr>
            <w:r>
              <w:rPr>
                <w:rFonts w:ascii="Calibri" w:hAnsi="Calibri" w:cs="Calibri"/>
              </w:rPr>
              <w:t>X</w:t>
            </w: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BEDDB75" w:rsidR="00DF50B5" w:rsidRPr="00610F28" w:rsidRDefault="008D6D3B"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F08BEFE" w:rsidR="00DF50B5" w:rsidRPr="00610F28" w:rsidRDefault="008D6D3B"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34472480" w:rsidR="008D6D3B" w:rsidRPr="00610F28" w:rsidRDefault="008D6D3B" w:rsidP="008D6D3B">
            <w:pPr>
              <w:rPr>
                <w:rFonts w:ascii="Calibri" w:hAnsi="Calibri" w:cs="Calibri"/>
              </w:rPr>
            </w:pPr>
            <w:r>
              <w:rPr>
                <w:rFonts w:ascii="Calibri" w:hAnsi="Calibri" w:cs="Calibri"/>
              </w:rPr>
              <w:t xml:space="preserve">Section 5.1.1, paragraph 1 “Environmental Objectives: Climate Change Mitigation” obliges targeted entities to provide </w:t>
            </w:r>
            <w:r w:rsidRPr="008D6D3B">
              <w:rPr>
                <w:rFonts w:ascii="Calibri" w:hAnsi="Calibri" w:cs="Calibri"/>
              </w:rPr>
              <w:t>Infrastructure enabling low carbon road transport, public transport, and water transport: Electric charging points, hydrogen fuelling stations</w:t>
            </w:r>
            <w:r>
              <w:rPr>
                <w:rFonts w:ascii="Calibri" w:hAnsi="Calibri" w:cs="Calibri"/>
              </w:rPr>
              <w:t>. In addition to using renewable energy components and facilities.</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2850227C" w:rsidR="00DF50B5" w:rsidRPr="00610F28" w:rsidRDefault="008D6D3B"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lastRenderedPageBreak/>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2547BCAD" w:rsidR="00DF50B5" w:rsidRPr="00610F28" w:rsidRDefault="008D6D3B"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4FE1FD4B" w:rsidR="00DF50B5" w:rsidRPr="00610F28" w:rsidRDefault="004B0588"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0" w:name="_Toc198223615"/>
      <w:r>
        <w:t xml:space="preserve">Section 3.3: </w:t>
      </w:r>
      <w:r w:rsidR="002E5ACB">
        <w:t>Life</w:t>
      </w:r>
      <w:r w:rsidR="00DF4489">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 xml:space="preserve">(e.g. energy or fuel consumption, monetized </w:t>
            </w:r>
            <w:r w:rsidRPr="00971C0E">
              <w:rPr>
                <w:rStyle w:val="normaltextrun"/>
                <w:rFonts w:cstheme="minorHAnsi"/>
                <w:color w:val="000000"/>
              </w:rPr>
              <w:lastRenderedPageBreak/>
              <w:t>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2BBF09C1" w:rsidR="00A56BE5" w:rsidRPr="00971C0E" w:rsidRDefault="004B058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5AE5ECFB" w:rsidR="00A56BE5" w:rsidRPr="00971C0E" w:rsidRDefault="004B058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41C1380B" w:rsidR="00A56BE5" w:rsidRPr="00971C0E" w:rsidRDefault="004B058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206FB168" w:rsidR="00D94180" w:rsidRPr="00971C0E" w:rsidRDefault="004B058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Not specified</w:t>
            </w:r>
          </w:p>
        </w:tc>
      </w:tr>
    </w:tbl>
    <w:p w14:paraId="55C55B84" w14:textId="77777777" w:rsidR="00062526" w:rsidRDefault="00062526"/>
    <w:p w14:paraId="3F85081E" w14:textId="2C5C789D" w:rsidR="00062526" w:rsidRDefault="005E50FD" w:rsidP="00062526">
      <w:pPr>
        <w:pStyle w:val="Heading2"/>
      </w:pPr>
      <w:bookmarkStart w:id="21" w:name="_Toc198223616"/>
      <w:r>
        <w:t xml:space="preserve">Section 3.4: </w:t>
      </w:r>
      <w:r w:rsidR="00062526">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0549B0FD" w:rsidR="008A4685" w:rsidRPr="00610F28" w:rsidRDefault="008D31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2E648A53" w:rsidR="008A4685" w:rsidRPr="00610F28" w:rsidRDefault="008D31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22D5A624" w:rsidR="008A4685" w:rsidRPr="00610F28" w:rsidRDefault="008D31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13121CF8" w:rsidR="008A4685" w:rsidRPr="00610F28" w:rsidRDefault="008D31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2142064E" w:rsidR="008A4685" w:rsidRPr="00610F28" w:rsidRDefault="008D31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lastRenderedPageBreak/>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24EF82E7" w:rsidR="008A4685" w:rsidRPr="00610F28" w:rsidRDefault="008D31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2" w:name="_Toc198223617"/>
      <w:r>
        <w:t xml:space="preserve">Section 3.5: </w:t>
      </w:r>
      <w:r w:rsidR="00064195">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F5997A" w:rsidR="008A4685" w:rsidRPr="00CF2E7C" w:rsidRDefault="004B058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6BD29655" w:rsidR="008A4685" w:rsidRPr="00CF2E7C" w:rsidRDefault="00AE214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44863601"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441A824A" w:rsidR="008A4685" w:rsidRPr="00CF2E7C" w:rsidRDefault="004B058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4805300B" w:rsidR="008A4685" w:rsidRPr="00CF2E7C" w:rsidRDefault="004B058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43293774" w:rsidR="008A4685" w:rsidRPr="00CF2E7C" w:rsidRDefault="00AE2146"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4D9C6F45" w:rsidR="0036671B" w:rsidRPr="00AE2146" w:rsidRDefault="00AE2146" w:rsidP="00AE2146">
            <w:pPr>
              <w:rPr>
                <w:rStyle w:val="normaltextrun"/>
                <w:rFonts w:ascii="Calibri" w:hAnsi="Calibri" w:cs="Calibri"/>
                <w:color w:val="000000"/>
                <w:shd w:val="clear" w:color="auto" w:fill="FFFFFF"/>
                <w:lang w:val="en-US"/>
              </w:rPr>
            </w:pPr>
            <w:r w:rsidRPr="00AE2146">
              <w:rPr>
                <w:rFonts w:ascii="Calibri" w:hAnsi="Calibri" w:cs="Calibri"/>
                <w:color w:val="000000"/>
                <w:shd w:val="clear" w:color="auto" w:fill="FFFFFF"/>
              </w:rPr>
              <w:t xml:space="preserve">The </w:t>
            </w:r>
            <w:r>
              <w:rPr>
                <w:rFonts w:ascii="Calibri" w:hAnsi="Calibri" w:cs="Calibri"/>
                <w:color w:val="000000"/>
                <w:shd w:val="clear" w:color="auto" w:fill="FFFFFF"/>
              </w:rPr>
              <w:t xml:space="preserve">policy tool </w:t>
            </w:r>
            <w:r w:rsidRPr="00AE2146">
              <w:rPr>
                <w:rFonts w:ascii="Calibri" w:hAnsi="Calibri" w:cs="Calibri"/>
                <w:color w:val="000000"/>
                <w:shd w:val="clear" w:color="auto" w:fill="FFFFFF"/>
              </w:rPr>
              <w:t>does not contain provisions that specify the nature of exclusion or debarment grounds related to climate-responsible business conduct</w:t>
            </w:r>
            <w:r>
              <w:rPr>
                <w:rFonts w:ascii="Calibri" w:hAnsi="Calibri" w:cs="Calibri"/>
                <w:color w:val="000000"/>
                <w:shd w:val="clear" w:color="auto" w:fill="FFFFFF"/>
              </w:rPr>
              <w:t>.</w:t>
            </w:r>
          </w:p>
        </w:tc>
      </w:tr>
    </w:tbl>
    <w:p w14:paraId="5E791363" w14:textId="77777777" w:rsidR="00C85DD9" w:rsidRDefault="00C85DD9"/>
    <w:p w14:paraId="4DC6C8F2" w14:textId="6966DF3C" w:rsidR="00C85DD9" w:rsidRDefault="005E50FD" w:rsidP="00C85DD9">
      <w:pPr>
        <w:pStyle w:val="Heading2"/>
      </w:pPr>
      <w:bookmarkStart w:id="23" w:name="_Toc198223618"/>
      <w:r>
        <w:lastRenderedPageBreak/>
        <w:t xml:space="preserve">Section 3.6: </w:t>
      </w:r>
      <w:r w:rsidR="00C85DD9">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728CF6FE" w:rsidR="008A4685" w:rsidRPr="00CF2E7C" w:rsidRDefault="00AE214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4EC626A" w:rsidR="008A4685" w:rsidRPr="00CF2E7C" w:rsidRDefault="00AE214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1B8844F7" w:rsidR="008A4685" w:rsidRPr="00CF2E7C" w:rsidRDefault="00AE214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55CA8402" w:rsidR="008A4685" w:rsidRPr="00CF2E7C" w:rsidRDefault="00AE214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5537171E" w:rsidR="008A4685" w:rsidRPr="00CF2E7C" w:rsidRDefault="00AE214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D7EC44C" w:rsidR="008A4685" w:rsidRPr="00CF2E7C" w:rsidRDefault="00AE214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6A4E6759" w:rsidR="008A4685" w:rsidRPr="00CF2E7C" w:rsidRDefault="00AE214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5CDFA8F5" w:rsidR="008A4685" w:rsidRPr="00CF2E7C" w:rsidRDefault="00AE214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433D6EC0" w:rsidR="008A4685" w:rsidRPr="00CF2E7C" w:rsidRDefault="00AE214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530223BF" w:rsidR="00CD5934" w:rsidRPr="00CF2E7C" w:rsidRDefault="00AE2146"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The policy tool implies environmental and/or risk-based due diligence procedures at the project</w:t>
            </w:r>
            <w:r w:rsidR="004D632A">
              <w:rPr>
                <w:rStyle w:val="normaltextrun"/>
                <w:rFonts w:ascii="Calibri" w:hAnsi="Calibri" w:cs="Calibri"/>
                <w:color w:val="000000"/>
                <w:sz w:val="22"/>
                <w:szCs w:val="22"/>
                <w:shd w:val="clear" w:color="auto" w:fill="FFFFFF"/>
                <w:lang w:val="en-US"/>
              </w:rPr>
              <w:t xml:space="preserve"> level</w:t>
            </w:r>
            <w:r>
              <w:rPr>
                <w:rStyle w:val="normaltextrun"/>
                <w:rFonts w:ascii="Calibri" w:hAnsi="Calibri" w:cs="Calibri"/>
                <w:color w:val="000000"/>
                <w:sz w:val="22"/>
                <w:szCs w:val="22"/>
                <w:shd w:val="clear" w:color="auto" w:fill="FFFFFF"/>
                <w:lang w:val="en-US"/>
              </w:rPr>
              <w:t xml:space="preserve"> to ensure the sustainability of the financed initiatives. However, it doesn’t specify the details or the procedures of such due diligence. </w:t>
            </w:r>
          </w:p>
        </w:tc>
      </w:tr>
    </w:tbl>
    <w:p w14:paraId="738531E1" w14:textId="77777777" w:rsidR="00A42235" w:rsidRDefault="00A42235"/>
    <w:p w14:paraId="00BDD29E" w14:textId="4B48AD1F" w:rsidR="00A42235" w:rsidRDefault="005E50FD" w:rsidP="00A42235">
      <w:pPr>
        <w:pStyle w:val="Heading2"/>
      </w:pPr>
      <w:bookmarkStart w:id="24" w:name="_Toc198223619"/>
      <w:r>
        <w:lastRenderedPageBreak/>
        <w:t xml:space="preserve">Section 3.7: </w:t>
      </w:r>
      <w:r w:rsidR="00A42235">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0CFED774" w:rsidR="008A4685" w:rsidRPr="00CF2E7C" w:rsidRDefault="009D7E6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279C2A79" w:rsidR="008A4685" w:rsidRPr="00CF2E7C" w:rsidRDefault="009D7E6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48AF73E5" w:rsidR="008A4685" w:rsidRPr="00CF2E7C" w:rsidRDefault="009D7E6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2D1639AD" w:rsidR="008A4685" w:rsidRPr="00CF2E7C" w:rsidRDefault="009D7E6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30B459B9" w:rsidR="00483D65" w:rsidRPr="009D7E65" w:rsidRDefault="009D7E65" w:rsidP="009D7E65">
            <w:pPr>
              <w:rPr>
                <w:rStyle w:val="normaltextrun"/>
                <w:rFonts w:ascii="Calibri" w:hAnsi="Calibri" w:cs="Calibri"/>
                <w:color w:val="000000"/>
                <w:shd w:val="clear" w:color="auto" w:fill="FFFFFF"/>
                <w:lang w:val="en-US"/>
              </w:rPr>
            </w:pPr>
            <w:r w:rsidRPr="009D7E65">
              <w:rPr>
                <w:rStyle w:val="normaltextrun"/>
                <w:rFonts w:ascii="Calibri" w:hAnsi="Calibri" w:cs="Calibri"/>
                <w:color w:val="000000"/>
                <w:shd w:val="clear" w:color="auto" w:fill="FFFFFF"/>
                <w:lang w:val="en-US"/>
              </w:rPr>
              <w:t xml:space="preserve">The policy tool doesn’t directly set technical specifications at the tendering stages. However, it sets goals aligned with </w:t>
            </w:r>
            <w:r w:rsidRPr="009D7E65">
              <w:rPr>
                <w:rFonts w:ascii="Calibri" w:hAnsi="Calibri" w:cs="Calibri"/>
                <w:color w:val="000000"/>
                <w:shd w:val="clear" w:color="auto" w:fill="FFFFFF"/>
              </w:rPr>
              <w:t xml:space="preserve">national climate targets, and its focus on financing environmentally beneficial projects mean that these specific considerations (energy efficiency, renewable </w:t>
            </w:r>
            <w:r w:rsidRPr="009D7E65">
              <w:rPr>
                <w:rFonts w:ascii="Calibri" w:hAnsi="Calibri" w:cs="Calibri"/>
                <w:color w:val="000000"/>
                <w:shd w:val="clear" w:color="auto" w:fill="FFFFFF"/>
              </w:rPr>
              <w:lastRenderedPageBreak/>
              <w:t>energy, low-carbon tech, etc.) would be prioritized and specified in the tenders for the projects it finances.</w:t>
            </w:r>
          </w:p>
        </w:tc>
      </w:tr>
    </w:tbl>
    <w:p w14:paraId="16B00F72" w14:textId="77777777" w:rsidR="001E7C37" w:rsidRDefault="001E7C37"/>
    <w:p w14:paraId="5ED6D64A" w14:textId="5B4704E1" w:rsidR="001E7C37" w:rsidRDefault="005E50FD" w:rsidP="001E7C37">
      <w:pPr>
        <w:pStyle w:val="Heading2"/>
      </w:pPr>
      <w:bookmarkStart w:id="25" w:name="_Toc198223620"/>
      <w:r>
        <w:t xml:space="preserve">Section 3.8: </w:t>
      </w:r>
      <w:r w:rsidR="001E7C37">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0CF233ED" w:rsidR="009A5C4E" w:rsidRPr="0074258C" w:rsidRDefault="00392A43"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04AA56E5" w:rsidR="009A5C4E" w:rsidRPr="0074258C" w:rsidRDefault="00392A43" w:rsidP="00CF2E7C">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Not specified </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0A35899" w:rsidR="009A5C4E" w:rsidRPr="0074258C" w:rsidRDefault="00392A43"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53CDCE5" w:rsidR="009A5C4E" w:rsidRDefault="00392A43" w:rsidP="00CF2E7C">
            <w:pPr>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 xml:space="preserve">Not specified </w:t>
            </w:r>
          </w:p>
        </w:tc>
      </w:tr>
    </w:tbl>
    <w:p w14:paraId="3477D7BB" w14:textId="77777777" w:rsidR="009A5C4E" w:rsidRDefault="009A5C4E"/>
    <w:p w14:paraId="541E0FA3" w14:textId="0C01434D" w:rsidR="00950B68" w:rsidRDefault="005E50FD" w:rsidP="00950B68">
      <w:pPr>
        <w:pStyle w:val="Heading2"/>
      </w:pPr>
      <w:bookmarkStart w:id="26" w:name="_Toc198223621"/>
      <w:r>
        <w:t xml:space="preserve">Section 3.9: </w:t>
      </w:r>
      <w:r w:rsidR="00950B6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0D8FEA86" w:rsidR="007802C6" w:rsidRPr="00CF2E7C" w:rsidRDefault="00D1210A"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6524C9EE" w:rsidR="007802C6" w:rsidRPr="00CF2E7C" w:rsidRDefault="00D1210A"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4F639297" w:rsidR="007802C6" w:rsidRPr="00CF2E7C" w:rsidRDefault="00D1210A"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9FB909C" w:rsidR="007802C6" w:rsidRPr="00CF2E7C" w:rsidRDefault="00D1210A"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02E77DC7" w:rsidR="007802C6" w:rsidRPr="00CF2E7C" w:rsidRDefault="00D1210A"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5D0EB40" w:rsidR="007802C6" w:rsidRPr="00CF2E7C" w:rsidRDefault="00D1210A"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ADDB352" w:rsidR="007802C6" w:rsidRPr="00CF2E7C" w:rsidRDefault="00D1210A"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6351CAE" w:rsidR="007802C6" w:rsidRPr="00CF2E7C" w:rsidRDefault="00D1210A"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1E9A3035" w:rsidR="007802C6" w:rsidRPr="00CF2E7C" w:rsidRDefault="00D1210A"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C38116F" w:rsidR="007802C6" w:rsidRPr="00CF2E7C" w:rsidRDefault="00D1210A"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2E01A14C" w:rsidR="007802C6" w:rsidRPr="00CF2E7C" w:rsidRDefault="00D1210A" w:rsidP="00CF2E7C">
            <w:pPr>
              <w:rPr>
                <w:rFonts w:ascii="Calibri" w:hAnsi="Calibri" w:cs="Calibri"/>
              </w:rPr>
            </w:pPr>
            <w:r>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0F95AF83" w:rsidR="007802C6" w:rsidRPr="00CF2E7C" w:rsidRDefault="00D1210A"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13AF7422" w:rsidR="007802C6" w:rsidRPr="00CF2E7C" w:rsidRDefault="00D1210A"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C7AF254" w:rsidR="007802C6" w:rsidRPr="00CF2E7C" w:rsidRDefault="00D1210A"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4D06FA51" w:rsidR="007802C6" w:rsidRPr="00CF2E7C" w:rsidRDefault="00D1210A"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1FBDD796" w:rsidR="007802C6" w:rsidRPr="00CF2E7C" w:rsidRDefault="00D1210A"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51044705" w:rsidR="007802C6" w:rsidRPr="00CF2E7C" w:rsidRDefault="00D1210A"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2C256721" w:rsidR="007802C6" w:rsidRPr="00CF2E7C" w:rsidRDefault="00D1210A"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1F22E70" w:rsidR="007802C6" w:rsidRPr="00CF2E7C" w:rsidRDefault="00D1210A"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32EC432C" w:rsidR="007802C6" w:rsidRPr="00CF2E7C" w:rsidRDefault="00D1210A"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2CD9C993" w:rsidR="007802C6" w:rsidRPr="00CF2E7C" w:rsidRDefault="00D1210A"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3A16D708" w:rsidR="007802C6" w:rsidRPr="00CF2E7C" w:rsidRDefault="00D1210A"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7" w:name="_Toc198223622"/>
      <w:r>
        <w:lastRenderedPageBreak/>
        <w:t>Domain 4: Carbon Credits</w:t>
      </w:r>
      <w:bookmarkEnd w:id="27"/>
    </w:p>
    <w:p w14:paraId="25C35D8C" w14:textId="52BD279F" w:rsidR="001C0769" w:rsidRPr="001C0769" w:rsidRDefault="000428FA" w:rsidP="001C0769">
      <w:pPr>
        <w:pStyle w:val="Heading2"/>
      </w:pPr>
      <w:bookmarkStart w:id="28" w:name="_Toc198223623"/>
      <w:r>
        <w:t xml:space="preserve">Section </w:t>
      </w:r>
      <w:r w:rsidR="00B20D58">
        <w:t>4</w:t>
      </w:r>
      <w:r>
        <w:t xml:space="preserve">.1: </w:t>
      </w:r>
      <w:r w:rsidR="001C0769">
        <w:t>Who is being targeted?</w:t>
      </w:r>
      <w:bookmarkEnd w:id="2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D5D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0" w:name="_Toc198223625"/>
      <w:r>
        <w:t xml:space="preserve">Section </w:t>
      </w:r>
      <w:r w:rsidR="00B20D58">
        <w:t>4</w:t>
      </w:r>
      <w:r>
        <w:t xml:space="preserve">.3: </w:t>
      </w:r>
      <w:r w:rsidR="001C0769" w:rsidRPr="009C4D10">
        <w:t>Governance of Carbon Credits</w:t>
      </w:r>
      <w:bookmarkEnd w:id="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2" w:name="_Toc198223626"/>
      <w:r>
        <w:rPr>
          <w:lang w:eastAsia="en-GB"/>
        </w:rPr>
        <w:t xml:space="preserve">Section 4.4: </w:t>
      </w:r>
      <w:r w:rsidR="00F01EE6">
        <w:rPr>
          <w:lang w:eastAsia="en-GB"/>
        </w:rPr>
        <w:t>Policy goal-specific questions</w:t>
      </w:r>
      <w:bookmarkEnd w:id="32"/>
    </w:p>
    <w:p w14:paraId="2A9A2B53" w14:textId="264B0D10" w:rsidR="001C0769" w:rsidRPr="009C4D10" w:rsidRDefault="001C0769" w:rsidP="00B20D58">
      <w:pPr>
        <w:pStyle w:val="Heading3"/>
        <w:rPr>
          <w:rFonts w:eastAsia="Times New Roman"/>
          <w:kern w:val="0"/>
          <w:lang w:eastAsia="en-GB"/>
          <w14:ligatures w14:val="none"/>
        </w:rPr>
      </w:pPr>
      <w:bookmarkStart w:id="33" w:name="_Section_1:_Criteria"/>
      <w:bookmarkStart w:id="34" w:name="_Toc198223627"/>
      <w:bookmarkEnd w:id="3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5" w:name="_Section_2:_Carbon"/>
      <w:bookmarkStart w:id="36" w:name="_Toc198223628"/>
      <w:bookmarkEnd w:id="35"/>
      <w:r>
        <w:t xml:space="preserve">Section </w:t>
      </w:r>
      <w:r w:rsidR="00B20D58">
        <w:t>4</w:t>
      </w:r>
      <w:r w:rsidR="00D2196F">
        <w:t>.4.2</w:t>
      </w:r>
      <w:r>
        <w:t xml:space="preserve">: </w:t>
      </w:r>
      <w:r w:rsidRPr="009C4D10">
        <w:t>Carbon Credit Usage in Compliance Market and Voluntary Carbon Market</w:t>
      </w:r>
      <w:bookmarkEnd w:id="3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7" w:name="_Section_3:_Operationalizing"/>
      <w:bookmarkStart w:id="38" w:name="_Toc198223629"/>
      <w:bookmarkEnd w:id="37"/>
      <w:r>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9" w:name="_Section_4:_Exchange"/>
      <w:bookmarkStart w:id="40" w:name="_Toc19822363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1" w:name="_Toc198223631"/>
      <w:r w:rsidRPr="009C4D10">
        <w:lastRenderedPageBreak/>
        <w:t>Domain 5: Prudential Tools</w:t>
      </w:r>
      <w:bookmarkEnd w:id="41"/>
    </w:p>
    <w:p w14:paraId="3E16913F" w14:textId="21F34EF6" w:rsidR="00AF3FC6" w:rsidRPr="00AF3FC6" w:rsidRDefault="00455E1B" w:rsidP="00AF3FC6">
      <w:pPr>
        <w:pStyle w:val="Heading2"/>
      </w:pPr>
      <w:bookmarkStart w:id="42" w:name="_Toc198223632"/>
      <w:r>
        <w:t xml:space="preserve">Section 5.1: </w:t>
      </w:r>
      <w:r w:rsidR="00AF3FC6" w:rsidRPr="009C4D10">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3" w:name="_Toc198223633"/>
      <w:r>
        <w:rPr>
          <w:lang w:val="en-SG"/>
        </w:rPr>
        <w:lastRenderedPageBreak/>
        <w:t xml:space="preserve">Section 5.2: </w:t>
      </w:r>
      <w:r w:rsidR="00FE66B1" w:rsidRPr="009C4D10">
        <w:rPr>
          <w:lang w:val="en-SG"/>
        </w:rPr>
        <w:t>Policy goal or function of the policy tool</w:t>
      </w:r>
      <w:bookmarkEnd w:id="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7" w:name="_Section_5.2:_Scenario"/>
      <w:bookmarkStart w:id="48" w:name="_Toc198223635"/>
      <w:bookmarkEnd w:id="47"/>
      <w:r>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0" w:name="_Section_5.3:_Capital"/>
      <w:bookmarkStart w:id="51" w:name="_Toc198223636"/>
      <w:bookmarkEnd w:id="50"/>
      <w:r>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4" w:name="_Toc198223638"/>
      <w:r>
        <w:lastRenderedPageBreak/>
        <w:t>Domain 6: Methane Abatement</w:t>
      </w:r>
      <w:bookmarkEnd w:id="54"/>
    </w:p>
    <w:p w14:paraId="144EDD37" w14:textId="77777777" w:rsidR="002F0752" w:rsidRDefault="002F0752" w:rsidP="002F0752">
      <w:pPr>
        <w:pStyle w:val="Heading2"/>
        <w:rPr>
          <w:rFonts w:ascii="Calibri" w:eastAsia="Calibri" w:hAnsi="Calibri" w:cs="Calibri"/>
          <w:color w:val="000000" w:themeColor="text1"/>
        </w:rPr>
      </w:pPr>
      <w:bookmarkStart w:id="55" w:name="_Toc198223639"/>
      <w:r>
        <w:t>Section 6.1: Who is being targeted?</w:t>
      </w:r>
      <w:bookmarkEnd w:id="5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5D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6" w:name="_Toc198223640"/>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7" w:name="_Toc198223641"/>
      <w:r>
        <w:rPr>
          <w:rFonts w:eastAsia="Arial"/>
        </w:rPr>
        <w:lastRenderedPageBreak/>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1173ED" w14:textId="77777777" w:rsidR="00A11EDB" w:rsidRDefault="00A11EDB" w:rsidP="00874E39">
      <w:r>
        <w:separator/>
      </w:r>
    </w:p>
  </w:endnote>
  <w:endnote w:type="continuationSeparator" w:id="0">
    <w:p w14:paraId="4933FF00" w14:textId="77777777" w:rsidR="00A11EDB" w:rsidRDefault="00A11EDB" w:rsidP="00874E39">
      <w:r>
        <w:continuationSeparator/>
      </w:r>
    </w:p>
  </w:endnote>
  <w:endnote w:type="continuationNotice" w:id="1">
    <w:p w14:paraId="7723BEC1" w14:textId="77777777" w:rsidR="00A11EDB" w:rsidRDefault="00A11E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250008" w14:textId="77777777" w:rsidR="00A11EDB" w:rsidRDefault="00A11EDB" w:rsidP="00874E39">
      <w:r>
        <w:separator/>
      </w:r>
    </w:p>
  </w:footnote>
  <w:footnote w:type="continuationSeparator" w:id="0">
    <w:p w14:paraId="30017713" w14:textId="77777777" w:rsidR="00A11EDB" w:rsidRDefault="00A11EDB" w:rsidP="00874E39">
      <w:r>
        <w:continuationSeparator/>
      </w:r>
    </w:p>
  </w:footnote>
  <w:footnote w:type="continuationNotice" w:id="1">
    <w:p w14:paraId="51B7F5CD" w14:textId="77777777" w:rsidR="00A11EDB" w:rsidRDefault="00A11ED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7003C23"/>
    <w:multiLevelType w:val="hybridMultilevel"/>
    <w:tmpl w:val="A4C0EC28"/>
    <w:lvl w:ilvl="0" w:tplc="4A60CE28">
      <w:start w:val="1"/>
      <w:numFmt w:val="decimal"/>
      <w:lvlText w:val="%1)"/>
      <w:lvlJc w:val="left"/>
      <w:pPr>
        <w:ind w:left="1020" w:hanging="360"/>
      </w:pPr>
    </w:lvl>
    <w:lvl w:ilvl="1" w:tplc="7C74FAF2">
      <w:start w:val="1"/>
      <w:numFmt w:val="decimal"/>
      <w:lvlText w:val="%2)"/>
      <w:lvlJc w:val="left"/>
      <w:pPr>
        <w:ind w:left="1020" w:hanging="360"/>
      </w:pPr>
    </w:lvl>
    <w:lvl w:ilvl="2" w:tplc="999EDA02">
      <w:start w:val="1"/>
      <w:numFmt w:val="decimal"/>
      <w:lvlText w:val="%3)"/>
      <w:lvlJc w:val="left"/>
      <w:pPr>
        <w:ind w:left="1020" w:hanging="360"/>
      </w:pPr>
    </w:lvl>
    <w:lvl w:ilvl="3" w:tplc="13749910">
      <w:start w:val="1"/>
      <w:numFmt w:val="decimal"/>
      <w:lvlText w:val="%4)"/>
      <w:lvlJc w:val="left"/>
      <w:pPr>
        <w:ind w:left="1020" w:hanging="360"/>
      </w:pPr>
    </w:lvl>
    <w:lvl w:ilvl="4" w:tplc="9C7CD938">
      <w:start w:val="1"/>
      <w:numFmt w:val="decimal"/>
      <w:lvlText w:val="%5)"/>
      <w:lvlJc w:val="left"/>
      <w:pPr>
        <w:ind w:left="1020" w:hanging="360"/>
      </w:pPr>
    </w:lvl>
    <w:lvl w:ilvl="5" w:tplc="D3561C22">
      <w:start w:val="1"/>
      <w:numFmt w:val="decimal"/>
      <w:lvlText w:val="%6)"/>
      <w:lvlJc w:val="left"/>
      <w:pPr>
        <w:ind w:left="1020" w:hanging="360"/>
      </w:pPr>
    </w:lvl>
    <w:lvl w:ilvl="6" w:tplc="BB6A7580">
      <w:start w:val="1"/>
      <w:numFmt w:val="decimal"/>
      <w:lvlText w:val="%7)"/>
      <w:lvlJc w:val="left"/>
      <w:pPr>
        <w:ind w:left="1020" w:hanging="360"/>
      </w:pPr>
    </w:lvl>
    <w:lvl w:ilvl="7" w:tplc="3B1E512E">
      <w:start w:val="1"/>
      <w:numFmt w:val="decimal"/>
      <w:lvlText w:val="%8)"/>
      <w:lvlJc w:val="left"/>
      <w:pPr>
        <w:ind w:left="1020" w:hanging="360"/>
      </w:pPr>
    </w:lvl>
    <w:lvl w:ilvl="8" w:tplc="E5EAF02A">
      <w:start w:val="1"/>
      <w:numFmt w:val="decimal"/>
      <w:lvlText w:val="%9)"/>
      <w:lvlJc w:val="left"/>
      <w:pPr>
        <w:ind w:left="1020" w:hanging="360"/>
      </w:p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A321F2D"/>
    <w:multiLevelType w:val="hybridMultilevel"/>
    <w:tmpl w:val="8C3C71B0"/>
    <w:lvl w:ilvl="0" w:tplc="05781520">
      <w:start w:val="1"/>
      <w:numFmt w:val="decimal"/>
      <w:lvlText w:val="%1)"/>
      <w:lvlJc w:val="left"/>
      <w:pPr>
        <w:ind w:left="720" w:hanging="360"/>
      </w:pPr>
    </w:lvl>
    <w:lvl w:ilvl="1" w:tplc="D34CC8AA">
      <w:start w:val="1"/>
      <w:numFmt w:val="decimal"/>
      <w:lvlText w:val="%2)"/>
      <w:lvlJc w:val="left"/>
      <w:pPr>
        <w:ind w:left="720" w:hanging="360"/>
      </w:pPr>
    </w:lvl>
    <w:lvl w:ilvl="2" w:tplc="AEA8D4FE">
      <w:start w:val="1"/>
      <w:numFmt w:val="decimal"/>
      <w:lvlText w:val="%3)"/>
      <w:lvlJc w:val="left"/>
      <w:pPr>
        <w:ind w:left="720" w:hanging="360"/>
      </w:pPr>
    </w:lvl>
    <w:lvl w:ilvl="3" w:tplc="8A4C1000">
      <w:start w:val="1"/>
      <w:numFmt w:val="decimal"/>
      <w:lvlText w:val="%4)"/>
      <w:lvlJc w:val="left"/>
      <w:pPr>
        <w:ind w:left="720" w:hanging="360"/>
      </w:pPr>
    </w:lvl>
    <w:lvl w:ilvl="4" w:tplc="3F7CEC2A">
      <w:start w:val="1"/>
      <w:numFmt w:val="decimal"/>
      <w:lvlText w:val="%5)"/>
      <w:lvlJc w:val="left"/>
      <w:pPr>
        <w:ind w:left="720" w:hanging="360"/>
      </w:pPr>
    </w:lvl>
    <w:lvl w:ilvl="5" w:tplc="BC7C54B2">
      <w:start w:val="1"/>
      <w:numFmt w:val="decimal"/>
      <w:lvlText w:val="%6)"/>
      <w:lvlJc w:val="left"/>
      <w:pPr>
        <w:ind w:left="720" w:hanging="360"/>
      </w:pPr>
    </w:lvl>
    <w:lvl w:ilvl="6" w:tplc="89E806D2">
      <w:start w:val="1"/>
      <w:numFmt w:val="decimal"/>
      <w:lvlText w:val="%7)"/>
      <w:lvlJc w:val="left"/>
      <w:pPr>
        <w:ind w:left="720" w:hanging="360"/>
      </w:pPr>
    </w:lvl>
    <w:lvl w:ilvl="7" w:tplc="0AB88374">
      <w:start w:val="1"/>
      <w:numFmt w:val="decimal"/>
      <w:lvlText w:val="%8)"/>
      <w:lvlJc w:val="left"/>
      <w:pPr>
        <w:ind w:left="720" w:hanging="360"/>
      </w:pPr>
    </w:lvl>
    <w:lvl w:ilvl="8" w:tplc="6B68E92E">
      <w:start w:val="1"/>
      <w:numFmt w:val="decimal"/>
      <w:lvlText w:val="%9)"/>
      <w:lvlJc w:val="left"/>
      <w:pPr>
        <w:ind w:left="720" w:hanging="360"/>
      </w:p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2584E33"/>
    <w:multiLevelType w:val="hybridMultilevel"/>
    <w:tmpl w:val="6246B494"/>
    <w:lvl w:ilvl="0" w:tplc="46465C4C">
      <w:start w:val="1"/>
      <w:numFmt w:val="decimal"/>
      <w:lvlText w:val="%1)"/>
      <w:lvlJc w:val="left"/>
      <w:pPr>
        <w:ind w:left="1020" w:hanging="360"/>
      </w:pPr>
    </w:lvl>
    <w:lvl w:ilvl="1" w:tplc="3A624D54">
      <w:start w:val="1"/>
      <w:numFmt w:val="decimal"/>
      <w:lvlText w:val="%2)"/>
      <w:lvlJc w:val="left"/>
      <w:pPr>
        <w:ind w:left="1020" w:hanging="360"/>
      </w:pPr>
    </w:lvl>
    <w:lvl w:ilvl="2" w:tplc="012A171A">
      <w:start w:val="1"/>
      <w:numFmt w:val="decimal"/>
      <w:lvlText w:val="%3)"/>
      <w:lvlJc w:val="left"/>
      <w:pPr>
        <w:ind w:left="1020" w:hanging="360"/>
      </w:pPr>
    </w:lvl>
    <w:lvl w:ilvl="3" w:tplc="8D906860">
      <w:start w:val="1"/>
      <w:numFmt w:val="decimal"/>
      <w:lvlText w:val="%4)"/>
      <w:lvlJc w:val="left"/>
      <w:pPr>
        <w:ind w:left="1020" w:hanging="360"/>
      </w:pPr>
    </w:lvl>
    <w:lvl w:ilvl="4" w:tplc="A2843AE4">
      <w:start w:val="1"/>
      <w:numFmt w:val="decimal"/>
      <w:lvlText w:val="%5)"/>
      <w:lvlJc w:val="left"/>
      <w:pPr>
        <w:ind w:left="1020" w:hanging="360"/>
      </w:pPr>
    </w:lvl>
    <w:lvl w:ilvl="5" w:tplc="A4024BEA">
      <w:start w:val="1"/>
      <w:numFmt w:val="decimal"/>
      <w:lvlText w:val="%6)"/>
      <w:lvlJc w:val="left"/>
      <w:pPr>
        <w:ind w:left="1020" w:hanging="360"/>
      </w:pPr>
    </w:lvl>
    <w:lvl w:ilvl="6" w:tplc="D9CE3DB4">
      <w:start w:val="1"/>
      <w:numFmt w:val="decimal"/>
      <w:lvlText w:val="%7)"/>
      <w:lvlJc w:val="left"/>
      <w:pPr>
        <w:ind w:left="1020" w:hanging="360"/>
      </w:pPr>
    </w:lvl>
    <w:lvl w:ilvl="7" w:tplc="6CDE192C">
      <w:start w:val="1"/>
      <w:numFmt w:val="decimal"/>
      <w:lvlText w:val="%8)"/>
      <w:lvlJc w:val="left"/>
      <w:pPr>
        <w:ind w:left="1020" w:hanging="360"/>
      </w:pPr>
    </w:lvl>
    <w:lvl w:ilvl="8" w:tplc="1CDA3B46">
      <w:start w:val="1"/>
      <w:numFmt w:val="decimal"/>
      <w:lvlText w:val="%9)"/>
      <w:lvlJc w:val="left"/>
      <w:pPr>
        <w:ind w:left="1020" w:hanging="360"/>
      </w:p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1" w15:restartNumberingAfterBreak="0">
    <w:nsid w:val="78AF30D7"/>
    <w:multiLevelType w:val="hybridMultilevel"/>
    <w:tmpl w:val="9F1803A0"/>
    <w:lvl w:ilvl="0" w:tplc="390E49EE">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4"/>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50"/>
  </w:num>
  <w:num w:numId="12" w16cid:durableId="1344891410">
    <w:abstractNumId w:val="11"/>
  </w:num>
  <w:num w:numId="13" w16cid:durableId="2023899324">
    <w:abstractNumId w:val="13"/>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5"/>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7"/>
  </w:num>
  <w:num w:numId="28" w16cid:durableId="537133110">
    <w:abstractNumId w:val="14"/>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2"/>
  </w:num>
  <w:num w:numId="34" w16cid:durableId="1092120443">
    <w:abstractNumId w:val="41"/>
  </w:num>
  <w:num w:numId="35" w16cid:durableId="124861188">
    <w:abstractNumId w:val="12"/>
  </w:num>
  <w:num w:numId="36" w16cid:durableId="1952588250">
    <w:abstractNumId w:val="39"/>
  </w:num>
  <w:num w:numId="37" w16cid:durableId="1712027211">
    <w:abstractNumId w:val="5"/>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3"/>
  </w:num>
  <w:num w:numId="46" w16cid:durableId="947811845">
    <w:abstractNumId w:val="49"/>
  </w:num>
  <w:num w:numId="47" w16cid:durableId="342588554">
    <w:abstractNumId w:val="27"/>
  </w:num>
  <w:num w:numId="48" w16cid:durableId="318391343">
    <w:abstractNumId w:val="38"/>
  </w:num>
  <w:num w:numId="49" w16cid:durableId="256409590">
    <w:abstractNumId w:val="3"/>
  </w:num>
  <w:num w:numId="50" w16cid:durableId="977690772">
    <w:abstractNumId w:val="40"/>
  </w:num>
  <w:num w:numId="51" w16cid:durableId="70664018">
    <w:abstractNumId w:val="10"/>
  </w:num>
  <w:num w:numId="52" w16cid:durableId="643851254">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679"/>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0C5"/>
    <w:rsid w:val="0006062B"/>
    <w:rsid w:val="000607C0"/>
    <w:rsid w:val="000609A8"/>
    <w:rsid w:val="00061CCB"/>
    <w:rsid w:val="00062223"/>
    <w:rsid w:val="00062526"/>
    <w:rsid w:val="0006283B"/>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56C"/>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8DE"/>
    <w:rsid w:val="000F4459"/>
    <w:rsid w:val="000F5B03"/>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0CE"/>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AD5"/>
    <w:rsid w:val="00140BD0"/>
    <w:rsid w:val="00141D8E"/>
    <w:rsid w:val="00142B76"/>
    <w:rsid w:val="00145138"/>
    <w:rsid w:val="001457F8"/>
    <w:rsid w:val="0014694F"/>
    <w:rsid w:val="00146B77"/>
    <w:rsid w:val="001470A9"/>
    <w:rsid w:val="00150B6F"/>
    <w:rsid w:val="00150BA9"/>
    <w:rsid w:val="00152C19"/>
    <w:rsid w:val="00152C7E"/>
    <w:rsid w:val="00153DBC"/>
    <w:rsid w:val="001546B4"/>
    <w:rsid w:val="00156468"/>
    <w:rsid w:val="00156AE2"/>
    <w:rsid w:val="00156CD5"/>
    <w:rsid w:val="0015734C"/>
    <w:rsid w:val="0016002C"/>
    <w:rsid w:val="00160486"/>
    <w:rsid w:val="001604B3"/>
    <w:rsid w:val="00161D1B"/>
    <w:rsid w:val="00162CC0"/>
    <w:rsid w:val="00163ADB"/>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D3A"/>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C1E"/>
    <w:rsid w:val="001B139D"/>
    <w:rsid w:val="001B27AB"/>
    <w:rsid w:val="001B3145"/>
    <w:rsid w:val="001B3A31"/>
    <w:rsid w:val="001B3EFB"/>
    <w:rsid w:val="001B4DEC"/>
    <w:rsid w:val="001B4FB1"/>
    <w:rsid w:val="001B60DE"/>
    <w:rsid w:val="001C008B"/>
    <w:rsid w:val="001C0769"/>
    <w:rsid w:val="001C239C"/>
    <w:rsid w:val="001C329A"/>
    <w:rsid w:val="001C3435"/>
    <w:rsid w:val="001C3966"/>
    <w:rsid w:val="001C4700"/>
    <w:rsid w:val="001C5A18"/>
    <w:rsid w:val="001C5C5D"/>
    <w:rsid w:val="001C614E"/>
    <w:rsid w:val="001C669F"/>
    <w:rsid w:val="001D03D3"/>
    <w:rsid w:val="001D1453"/>
    <w:rsid w:val="001D1E48"/>
    <w:rsid w:val="001D1FF2"/>
    <w:rsid w:val="001D36D7"/>
    <w:rsid w:val="001D374C"/>
    <w:rsid w:val="001D5683"/>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B9D"/>
    <w:rsid w:val="002008EE"/>
    <w:rsid w:val="00200E3F"/>
    <w:rsid w:val="002018F7"/>
    <w:rsid w:val="002020E8"/>
    <w:rsid w:val="00203B08"/>
    <w:rsid w:val="002040F6"/>
    <w:rsid w:val="00204C4D"/>
    <w:rsid w:val="0020589D"/>
    <w:rsid w:val="00205AAF"/>
    <w:rsid w:val="00205D5A"/>
    <w:rsid w:val="002069B2"/>
    <w:rsid w:val="00206E20"/>
    <w:rsid w:val="00206FE4"/>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538"/>
    <w:rsid w:val="0025765F"/>
    <w:rsid w:val="00257732"/>
    <w:rsid w:val="002640A2"/>
    <w:rsid w:val="00264CBC"/>
    <w:rsid w:val="0026588F"/>
    <w:rsid w:val="0026642F"/>
    <w:rsid w:val="002673A6"/>
    <w:rsid w:val="00267923"/>
    <w:rsid w:val="002679A5"/>
    <w:rsid w:val="0027067C"/>
    <w:rsid w:val="00270A4D"/>
    <w:rsid w:val="00272D9A"/>
    <w:rsid w:val="002737EF"/>
    <w:rsid w:val="00274335"/>
    <w:rsid w:val="00274864"/>
    <w:rsid w:val="00274B22"/>
    <w:rsid w:val="00277FC5"/>
    <w:rsid w:val="00284ADD"/>
    <w:rsid w:val="002855FC"/>
    <w:rsid w:val="00285DA7"/>
    <w:rsid w:val="00286683"/>
    <w:rsid w:val="00286FE0"/>
    <w:rsid w:val="002878A1"/>
    <w:rsid w:val="002912CD"/>
    <w:rsid w:val="00292C9C"/>
    <w:rsid w:val="0029544B"/>
    <w:rsid w:val="00295770"/>
    <w:rsid w:val="00295DDD"/>
    <w:rsid w:val="00296362"/>
    <w:rsid w:val="00296893"/>
    <w:rsid w:val="002968A6"/>
    <w:rsid w:val="00296D90"/>
    <w:rsid w:val="0029703E"/>
    <w:rsid w:val="002A0239"/>
    <w:rsid w:val="002A1860"/>
    <w:rsid w:val="002A1997"/>
    <w:rsid w:val="002A237B"/>
    <w:rsid w:val="002A32D0"/>
    <w:rsid w:val="002A32E0"/>
    <w:rsid w:val="002A3C84"/>
    <w:rsid w:val="002A3F53"/>
    <w:rsid w:val="002A4221"/>
    <w:rsid w:val="002A6274"/>
    <w:rsid w:val="002A6707"/>
    <w:rsid w:val="002B1491"/>
    <w:rsid w:val="002B1E50"/>
    <w:rsid w:val="002B229D"/>
    <w:rsid w:val="002B255F"/>
    <w:rsid w:val="002B272B"/>
    <w:rsid w:val="002B2AEA"/>
    <w:rsid w:val="002B3098"/>
    <w:rsid w:val="002B4149"/>
    <w:rsid w:val="002B4903"/>
    <w:rsid w:val="002B6201"/>
    <w:rsid w:val="002B6C7E"/>
    <w:rsid w:val="002B708A"/>
    <w:rsid w:val="002B7D5C"/>
    <w:rsid w:val="002C060D"/>
    <w:rsid w:val="002C0DCE"/>
    <w:rsid w:val="002C14C2"/>
    <w:rsid w:val="002C169C"/>
    <w:rsid w:val="002C2336"/>
    <w:rsid w:val="002C5998"/>
    <w:rsid w:val="002C5E2F"/>
    <w:rsid w:val="002C5FC4"/>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1BD"/>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76C"/>
    <w:rsid w:val="0031143A"/>
    <w:rsid w:val="00311F1B"/>
    <w:rsid w:val="0031314C"/>
    <w:rsid w:val="00313275"/>
    <w:rsid w:val="00313E83"/>
    <w:rsid w:val="003175A1"/>
    <w:rsid w:val="003218C6"/>
    <w:rsid w:val="00322783"/>
    <w:rsid w:val="00322BCF"/>
    <w:rsid w:val="003243E3"/>
    <w:rsid w:val="00324698"/>
    <w:rsid w:val="00325558"/>
    <w:rsid w:val="00325771"/>
    <w:rsid w:val="00325E0E"/>
    <w:rsid w:val="00327523"/>
    <w:rsid w:val="003310EC"/>
    <w:rsid w:val="00331C00"/>
    <w:rsid w:val="00332121"/>
    <w:rsid w:val="00332587"/>
    <w:rsid w:val="00334282"/>
    <w:rsid w:val="003363CC"/>
    <w:rsid w:val="0033659B"/>
    <w:rsid w:val="0033727F"/>
    <w:rsid w:val="00340521"/>
    <w:rsid w:val="003421A5"/>
    <w:rsid w:val="003423AA"/>
    <w:rsid w:val="00343665"/>
    <w:rsid w:val="00343937"/>
    <w:rsid w:val="00344453"/>
    <w:rsid w:val="00344B03"/>
    <w:rsid w:val="0034574D"/>
    <w:rsid w:val="00345B1A"/>
    <w:rsid w:val="00346D03"/>
    <w:rsid w:val="003473CB"/>
    <w:rsid w:val="00347515"/>
    <w:rsid w:val="003510A0"/>
    <w:rsid w:val="003514EB"/>
    <w:rsid w:val="00352152"/>
    <w:rsid w:val="003525D5"/>
    <w:rsid w:val="00353C12"/>
    <w:rsid w:val="003540A1"/>
    <w:rsid w:val="003544E0"/>
    <w:rsid w:val="00354ADC"/>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A43"/>
    <w:rsid w:val="00392F82"/>
    <w:rsid w:val="0039353D"/>
    <w:rsid w:val="003937AD"/>
    <w:rsid w:val="00393BA9"/>
    <w:rsid w:val="0039625A"/>
    <w:rsid w:val="003A0C73"/>
    <w:rsid w:val="003A144F"/>
    <w:rsid w:val="003A2976"/>
    <w:rsid w:val="003A2E5E"/>
    <w:rsid w:val="003A4A9F"/>
    <w:rsid w:val="003A4D6B"/>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8D5"/>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B47"/>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A7E"/>
    <w:rsid w:val="00470D19"/>
    <w:rsid w:val="004711F3"/>
    <w:rsid w:val="00473D86"/>
    <w:rsid w:val="00474855"/>
    <w:rsid w:val="004768DF"/>
    <w:rsid w:val="0047754F"/>
    <w:rsid w:val="00480247"/>
    <w:rsid w:val="00483B35"/>
    <w:rsid w:val="00483D65"/>
    <w:rsid w:val="00484663"/>
    <w:rsid w:val="00485B85"/>
    <w:rsid w:val="00486758"/>
    <w:rsid w:val="004867CE"/>
    <w:rsid w:val="00486B53"/>
    <w:rsid w:val="00486C77"/>
    <w:rsid w:val="0048732D"/>
    <w:rsid w:val="00487AFB"/>
    <w:rsid w:val="00490235"/>
    <w:rsid w:val="0049168C"/>
    <w:rsid w:val="00493986"/>
    <w:rsid w:val="00493E0A"/>
    <w:rsid w:val="00494A74"/>
    <w:rsid w:val="00494B67"/>
    <w:rsid w:val="00496413"/>
    <w:rsid w:val="004A06B9"/>
    <w:rsid w:val="004A14A0"/>
    <w:rsid w:val="004A1B2A"/>
    <w:rsid w:val="004A1C8C"/>
    <w:rsid w:val="004A2174"/>
    <w:rsid w:val="004A3724"/>
    <w:rsid w:val="004A4C51"/>
    <w:rsid w:val="004A4E0A"/>
    <w:rsid w:val="004A54B3"/>
    <w:rsid w:val="004A6D34"/>
    <w:rsid w:val="004A7899"/>
    <w:rsid w:val="004A7CD9"/>
    <w:rsid w:val="004B0588"/>
    <w:rsid w:val="004B101C"/>
    <w:rsid w:val="004B1442"/>
    <w:rsid w:val="004B1458"/>
    <w:rsid w:val="004B1F6B"/>
    <w:rsid w:val="004B25C1"/>
    <w:rsid w:val="004B2D74"/>
    <w:rsid w:val="004B3C40"/>
    <w:rsid w:val="004B4203"/>
    <w:rsid w:val="004B47BC"/>
    <w:rsid w:val="004B60D4"/>
    <w:rsid w:val="004B666D"/>
    <w:rsid w:val="004B739E"/>
    <w:rsid w:val="004B77AB"/>
    <w:rsid w:val="004C006D"/>
    <w:rsid w:val="004C0F10"/>
    <w:rsid w:val="004C20B7"/>
    <w:rsid w:val="004C3866"/>
    <w:rsid w:val="004C3A52"/>
    <w:rsid w:val="004C6739"/>
    <w:rsid w:val="004C70AC"/>
    <w:rsid w:val="004D2730"/>
    <w:rsid w:val="004D3416"/>
    <w:rsid w:val="004D5810"/>
    <w:rsid w:val="004D632A"/>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18E"/>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DB7"/>
    <w:rsid w:val="00532585"/>
    <w:rsid w:val="00532B66"/>
    <w:rsid w:val="00534E3E"/>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D41"/>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5DD"/>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3825"/>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1780"/>
    <w:rsid w:val="00682746"/>
    <w:rsid w:val="00683A9D"/>
    <w:rsid w:val="00683DB5"/>
    <w:rsid w:val="00685A4F"/>
    <w:rsid w:val="006878AC"/>
    <w:rsid w:val="00690B2A"/>
    <w:rsid w:val="006936EF"/>
    <w:rsid w:val="006943E9"/>
    <w:rsid w:val="00695F64"/>
    <w:rsid w:val="0069622D"/>
    <w:rsid w:val="00696548"/>
    <w:rsid w:val="00696D68"/>
    <w:rsid w:val="006A00E0"/>
    <w:rsid w:val="006A103A"/>
    <w:rsid w:val="006A2168"/>
    <w:rsid w:val="006A21C6"/>
    <w:rsid w:val="006A308E"/>
    <w:rsid w:val="006A3518"/>
    <w:rsid w:val="006A3E62"/>
    <w:rsid w:val="006A4C24"/>
    <w:rsid w:val="006A4C9F"/>
    <w:rsid w:val="006A63B5"/>
    <w:rsid w:val="006B07E5"/>
    <w:rsid w:val="006B0C0B"/>
    <w:rsid w:val="006B0E74"/>
    <w:rsid w:val="006B2C46"/>
    <w:rsid w:val="006B31AD"/>
    <w:rsid w:val="006B4FC8"/>
    <w:rsid w:val="006B6168"/>
    <w:rsid w:val="006B61C2"/>
    <w:rsid w:val="006B7780"/>
    <w:rsid w:val="006B7B0D"/>
    <w:rsid w:val="006B7C5F"/>
    <w:rsid w:val="006C0BEF"/>
    <w:rsid w:val="006C0C8C"/>
    <w:rsid w:val="006C1651"/>
    <w:rsid w:val="006C1E8E"/>
    <w:rsid w:val="006C36E1"/>
    <w:rsid w:val="006C3C15"/>
    <w:rsid w:val="006C3E76"/>
    <w:rsid w:val="006C47D7"/>
    <w:rsid w:val="006C4979"/>
    <w:rsid w:val="006C5478"/>
    <w:rsid w:val="006C5B0E"/>
    <w:rsid w:val="006C5B4E"/>
    <w:rsid w:val="006C655F"/>
    <w:rsid w:val="006C6972"/>
    <w:rsid w:val="006C6CF7"/>
    <w:rsid w:val="006C7324"/>
    <w:rsid w:val="006D005C"/>
    <w:rsid w:val="006D09D3"/>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55E"/>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01E"/>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645"/>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86D"/>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C77"/>
    <w:rsid w:val="007C759E"/>
    <w:rsid w:val="007C77AA"/>
    <w:rsid w:val="007D33C4"/>
    <w:rsid w:val="007D3472"/>
    <w:rsid w:val="007D366D"/>
    <w:rsid w:val="007D4EBE"/>
    <w:rsid w:val="007D5868"/>
    <w:rsid w:val="007D61F4"/>
    <w:rsid w:val="007D6780"/>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5B0"/>
    <w:rsid w:val="00862AB1"/>
    <w:rsid w:val="00862EB9"/>
    <w:rsid w:val="008642FE"/>
    <w:rsid w:val="0086450B"/>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43"/>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4BC"/>
    <w:rsid w:val="008B0F60"/>
    <w:rsid w:val="008B0F8A"/>
    <w:rsid w:val="008B2418"/>
    <w:rsid w:val="008B4536"/>
    <w:rsid w:val="008B5DC5"/>
    <w:rsid w:val="008B7E8C"/>
    <w:rsid w:val="008B7F82"/>
    <w:rsid w:val="008C07E1"/>
    <w:rsid w:val="008C0FA6"/>
    <w:rsid w:val="008C2AC5"/>
    <w:rsid w:val="008C2E61"/>
    <w:rsid w:val="008C3013"/>
    <w:rsid w:val="008C4722"/>
    <w:rsid w:val="008C4EEF"/>
    <w:rsid w:val="008C5525"/>
    <w:rsid w:val="008C718C"/>
    <w:rsid w:val="008C7352"/>
    <w:rsid w:val="008C78AD"/>
    <w:rsid w:val="008C7C90"/>
    <w:rsid w:val="008D018C"/>
    <w:rsid w:val="008D0461"/>
    <w:rsid w:val="008D08EB"/>
    <w:rsid w:val="008D0BA1"/>
    <w:rsid w:val="008D2B18"/>
    <w:rsid w:val="008D2FA8"/>
    <w:rsid w:val="008D31F7"/>
    <w:rsid w:val="008D45C5"/>
    <w:rsid w:val="008D5150"/>
    <w:rsid w:val="008D54CE"/>
    <w:rsid w:val="008D6D3B"/>
    <w:rsid w:val="008D78E4"/>
    <w:rsid w:val="008E184E"/>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2AE"/>
    <w:rsid w:val="009128F1"/>
    <w:rsid w:val="00912DDA"/>
    <w:rsid w:val="00913362"/>
    <w:rsid w:val="00913BB1"/>
    <w:rsid w:val="00913FA1"/>
    <w:rsid w:val="00914A85"/>
    <w:rsid w:val="00915243"/>
    <w:rsid w:val="00916A78"/>
    <w:rsid w:val="009177A2"/>
    <w:rsid w:val="00917876"/>
    <w:rsid w:val="00920154"/>
    <w:rsid w:val="00921319"/>
    <w:rsid w:val="00921386"/>
    <w:rsid w:val="009226C3"/>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4E9"/>
    <w:rsid w:val="00962F14"/>
    <w:rsid w:val="00963A39"/>
    <w:rsid w:val="00963DC5"/>
    <w:rsid w:val="009649F8"/>
    <w:rsid w:val="00966139"/>
    <w:rsid w:val="00966160"/>
    <w:rsid w:val="00966C8D"/>
    <w:rsid w:val="00967FE0"/>
    <w:rsid w:val="0097030B"/>
    <w:rsid w:val="00970C82"/>
    <w:rsid w:val="00971C0E"/>
    <w:rsid w:val="00972649"/>
    <w:rsid w:val="00974581"/>
    <w:rsid w:val="009745EE"/>
    <w:rsid w:val="00976106"/>
    <w:rsid w:val="00976B36"/>
    <w:rsid w:val="00976B54"/>
    <w:rsid w:val="00977578"/>
    <w:rsid w:val="00977BA5"/>
    <w:rsid w:val="009805DC"/>
    <w:rsid w:val="00981000"/>
    <w:rsid w:val="009818E7"/>
    <w:rsid w:val="00981AD6"/>
    <w:rsid w:val="0098226E"/>
    <w:rsid w:val="009847E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69D"/>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D7E65"/>
    <w:rsid w:val="009E060B"/>
    <w:rsid w:val="009E133B"/>
    <w:rsid w:val="009E1A4F"/>
    <w:rsid w:val="009E1E61"/>
    <w:rsid w:val="009E21B4"/>
    <w:rsid w:val="009E3D96"/>
    <w:rsid w:val="009E40D3"/>
    <w:rsid w:val="009E4263"/>
    <w:rsid w:val="009E5F98"/>
    <w:rsid w:val="009E6317"/>
    <w:rsid w:val="009E68BB"/>
    <w:rsid w:val="009E7C10"/>
    <w:rsid w:val="009F3542"/>
    <w:rsid w:val="009F56B4"/>
    <w:rsid w:val="009F5822"/>
    <w:rsid w:val="009F676A"/>
    <w:rsid w:val="009F7316"/>
    <w:rsid w:val="00A02AF3"/>
    <w:rsid w:val="00A02E8F"/>
    <w:rsid w:val="00A035AB"/>
    <w:rsid w:val="00A043B6"/>
    <w:rsid w:val="00A04C9D"/>
    <w:rsid w:val="00A04DB8"/>
    <w:rsid w:val="00A050A2"/>
    <w:rsid w:val="00A05CFC"/>
    <w:rsid w:val="00A064CE"/>
    <w:rsid w:val="00A0773E"/>
    <w:rsid w:val="00A07FB5"/>
    <w:rsid w:val="00A11EDB"/>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095"/>
    <w:rsid w:val="00A40404"/>
    <w:rsid w:val="00A42235"/>
    <w:rsid w:val="00A42858"/>
    <w:rsid w:val="00A43199"/>
    <w:rsid w:val="00A43AFC"/>
    <w:rsid w:val="00A445CD"/>
    <w:rsid w:val="00A45776"/>
    <w:rsid w:val="00A46507"/>
    <w:rsid w:val="00A46B53"/>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BCE"/>
    <w:rsid w:val="00A84C61"/>
    <w:rsid w:val="00A8625C"/>
    <w:rsid w:val="00A86DFE"/>
    <w:rsid w:val="00A870CA"/>
    <w:rsid w:val="00A871DD"/>
    <w:rsid w:val="00A87442"/>
    <w:rsid w:val="00A90B9E"/>
    <w:rsid w:val="00A90D91"/>
    <w:rsid w:val="00A93112"/>
    <w:rsid w:val="00A932DE"/>
    <w:rsid w:val="00A9656E"/>
    <w:rsid w:val="00AA186B"/>
    <w:rsid w:val="00AA2E37"/>
    <w:rsid w:val="00AA38F6"/>
    <w:rsid w:val="00AA4965"/>
    <w:rsid w:val="00AA6DDB"/>
    <w:rsid w:val="00AB0830"/>
    <w:rsid w:val="00AB2CCC"/>
    <w:rsid w:val="00AB4BC3"/>
    <w:rsid w:val="00AB4C88"/>
    <w:rsid w:val="00AB4F2C"/>
    <w:rsid w:val="00AB64F8"/>
    <w:rsid w:val="00AC3C5B"/>
    <w:rsid w:val="00AC6ECF"/>
    <w:rsid w:val="00AC7B6B"/>
    <w:rsid w:val="00AD1216"/>
    <w:rsid w:val="00AD1BC7"/>
    <w:rsid w:val="00AD4047"/>
    <w:rsid w:val="00AD4477"/>
    <w:rsid w:val="00AD4F51"/>
    <w:rsid w:val="00AD5285"/>
    <w:rsid w:val="00AD54D3"/>
    <w:rsid w:val="00AD5DCD"/>
    <w:rsid w:val="00AD70E0"/>
    <w:rsid w:val="00AE0028"/>
    <w:rsid w:val="00AE00FE"/>
    <w:rsid w:val="00AE0451"/>
    <w:rsid w:val="00AE0803"/>
    <w:rsid w:val="00AE0ADB"/>
    <w:rsid w:val="00AE2146"/>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699F"/>
    <w:rsid w:val="00B610C2"/>
    <w:rsid w:val="00B61B6F"/>
    <w:rsid w:val="00B61D29"/>
    <w:rsid w:val="00B62F6C"/>
    <w:rsid w:val="00B634F2"/>
    <w:rsid w:val="00B659D9"/>
    <w:rsid w:val="00B65F11"/>
    <w:rsid w:val="00B673AC"/>
    <w:rsid w:val="00B6777F"/>
    <w:rsid w:val="00B720BA"/>
    <w:rsid w:val="00B733B0"/>
    <w:rsid w:val="00B745B3"/>
    <w:rsid w:val="00B74F7D"/>
    <w:rsid w:val="00B75BA7"/>
    <w:rsid w:val="00B76EAD"/>
    <w:rsid w:val="00B802FC"/>
    <w:rsid w:val="00B80E01"/>
    <w:rsid w:val="00B81D1E"/>
    <w:rsid w:val="00B827DD"/>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4C1"/>
    <w:rsid w:val="00BA29C7"/>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01E"/>
    <w:rsid w:val="00BC0309"/>
    <w:rsid w:val="00BC1037"/>
    <w:rsid w:val="00BC2F0B"/>
    <w:rsid w:val="00BC3206"/>
    <w:rsid w:val="00BC4832"/>
    <w:rsid w:val="00BC5451"/>
    <w:rsid w:val="00BC5744"/>
    <w:rsid w:val="00BC5B8A"/>
    <w:rsid w:val="00BD1613"/>
    <w:rsid w:val="00BD3AB4"/>
    <w:rsid w:val="00BD5071"/>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BEC"/>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CB0"/>
    <w:rsid w:val="00C5205E"/>
    <w:rsid w:val="00C522AB"/>
    <w:rsid w:val="00C55D72"/>
    <w:rsid w:val="00C56D45"/>
    <w:rsid w:val="00C57511"/>
    <w:rsid w:val="00C57626"/>
    <w:rsid w:val="00C6146F"/>
    <w:rsid w:val="00C62AF0"/>
    <w:rsid w:val="00C636BA"/>
    <w:rsid w:val="00C63A43"/>
    <w:rsid w:val="00C648D8"/>
    <w:rsid w:val="00C65DA8"/>
    <w:rsid w:val="00C6612A"/>
    <w:rsid w:val="00C6668B"/>
    <w:rsid w:val="00C666FB"/>
    <w:rsid w:val="00C66EE0"/>
    <w:rsid w:val="00C671B1"/>
    <w:rsid w:val="00C6742F"/>
    <w:rsid w:val="00C67467"/>
    <w:rsid w:val="00C6780B"/>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C19"/>
    <w:rsid w:val="00CB61F0"/>
    <w:rsid w:val="00CB6338"/>
    <w:rsid w:val="00CB76AA"/>
    <w:rsid w:val="00CB790E"/>
    <w:rsid w:val="00CC1407"/>
    <w:rsid w:val="00CC32D1"/>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1BB8"/>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713"/>
    <w:rsid w:val="00D004AD"/>
    <w:rsid w:val="00D01B92"/>
    <w:rsid w:val="00D02935"/>
    <w:rsid w:val="00D02C80"/>
    <w:rsid w:val="00D02FA1"/>
    <w:rsid w:val="00D056E9"/>
    <w:rsid w:val="00D07A89"/>
    <w:rsid w:val="00D1210A"/>
    <w:rsid w:val="00D12870"/>
    <w:rsid w:val="00D1407E"/>
    <w:rsid w:val="00D147C0"/>
    <w:rsid w:val="00D1481B"/>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39A5"/>
    <w:rsid w:val="00D66821"/>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0F6"/>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1EA"/>
    <w:rsid w:val="00DB1960"/>
    <w:rsid w:val="00DB1E72"/>
    <w:rsid w:val="00DB2C4B"/>
    <w:rsid w:val="00DB2CAA"/>
    <w:rsid w:val="00DB4C6F"/>
    <w:rsid w:val="00DB61E7"/>
    <w:rsid w:val="00DB6C3C"/>
    <w:rsid w:val="00DC18A5"/>
    <w:rsid w:val="00DC1D8C"/>
    <w:rsid w:val="00DC228B"/>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674"/>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084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2DD"/>
    <w:rsid w:val="00E321EB"/>
    <w:rsid w:val="00E32892"/>
    <w:rsid w:val="00E330BA"/>
    <w:rsid w:val="00E34DED"/>
    <w:rsid w:val="00E368E8"/>
    <w:rsid w:val="00E36D6E"/>
    <w:rsid w:val="00E37C8B"/>
    <w:rsid w:val="00E37ECE"/>
    <w:rsid w:val="00E405B9"/>
    <w:rsid w:val="00E41941"/>
    <w:rsid w:val="00E425D4"/>
    <w:rsid w:val="00E42806"/>
    <w:rsid w:val="00E43229"/>
    <w:rsid w:val="00E454C9"/>
    <w:rsid w:val="00E50761"/>
    <w:rsid w:val="00E509D9"/>
    <w:rsid w:val="00E50B13"/>
    <w:rsid w:val="00E51B16"/>
    <w:rsid w:val="00E533A4"/>
    <w:rsid w:val="00E554A3"/>
    <w:rsid w:val="00E56917"/>
    <w:rsid w:val="00E573C2"/>
    <w:rsid w:val="00E579FC"/>
    <w:rsid w:val="00E57F12"/>
    <w:rsid w:val="00E603D8"/>
    <w:rsid w:val="00E60CA5"/>
    <w:rsid w:val="00E6223B"/>
    <w:rsid w:val="00E631C3"/>
    <w:rsid w:val="00E631DE"/>
    <w:rsid w:val="00E636E4"/>
    <w:rsid w:val="00E63AC5"/>
    <w:rsid w:val="00E64AEA"/>
    <w:rsid w:val="00E65D70"/>
    <w:rsid w:val="00E6706E"/>
    <w:rsid w:val="00E67095"/>
    <w:rsid w:val="00E67A04"/>
    <w:rsid w:val="00E67FAF"/>
    <w:rsid w:val="00E67FD9"/>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6E32"/>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8C7"/>
    <w:rsid w:val="00EC24B4"/>
    <w:rsid w:val="00EC2AE7"/>
    <w:rsid w:val="00EC2E26"/>
    <w:rsid w:val="00EC2EDF"/>
    <w:rsid w:val="00EC42A1"/>
    <w:rsid w:val="00EC523C"/>
    <w:rsid w:val="00EC675B"/>
    <w:rsid w:val="00EC7098"/>
    <w:rsid w:val="00EC75FB"/>
    <w:rsid w:val="00ED095F"/>
    <w:rsid w:val="00ED23BE"/>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E92"/>
    <w:rsid w:val="00F0181A"/>
    <w:rsid w:val="00F01EE6"/>
    <w:rsid w:val="00F01F98"/>
    <w:rsid w:val="00F02219"/>
    <w:rsid w:val="00F03665"/>
    <w:rsid w:val="00F03D4C"/>
    <w:rsid w:val="00F04743"/>
    <w:rsid w:val="00F07460"/>
    <w:rsid w:val="00F076B1"/>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363"/>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337B"/>
    <w:rsid w:val="00FC5AA7"/>
    <w:rsid w:val="00FC6E48"/>
    <w:rsid w:val="00FD3587"/>
    <w:rsid w:val="00FD42FF"/>
    <w:rsid w:val="00FD4B6C"/>
    <w:rsid w:val="00FD5199"/>
    <w:rsid w:val="00FD5404"/>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2E2"/>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868291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670242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327212635/https://mped.gov.eg/adminpanel/sharedFiles/EGYPT%E2%80%99s_Integrated_National_Financing_16-9-2024_123.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22958</Words>
  <Characters>130861</Characters>
  <Application>Microsoft Office Word</Application>
  <DocSecurity>0</DocSecurity>
  <Lines>1090</Lines>
  <Paragraphs>307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13</cp:revision>
  <cp:lastPrinted>2025-03-21T00:14:00Z</cp:lastPrinted>
  <dcterms:created xsi:type="dcterms:W3CDTF">2025-06-30T16:34:00Z</dcterms:created>
  <dcterms:modified xsi:type="dcterms:W3CDTF">2025-07-01T08:12:00Z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